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827" w:rsidRPr="00C50942" w:rsidRDefault="003E5827" w:rsidP="003E5827">
      <w:pPr>
        <w:rPr>
          <w:rFonts w:cs="Arial"/>
          <w:szCs w:val="24"/>
        </w:rPr>
      </w:pPr>
    </w:p>
    <w:p w:rsidR="003E5827" w:rsidRPr="00C50942" w:rsidRDefault="003E5827" w:rsidP="003E5827">
      <w:pPr>
        <w:rPr>
          <w:rFonts w:cs="Arial"/>
          <w:szCs w:val="24"/>
        </w:rPr>
      </w:pPr>
    </w:p>
    <w:p w:rsidR="003E5827" w:rsidRPr="00C50942" w:rsidRDefault="003E5827" w:rsidP="003E5827">
      <w:pPr>
        <w:rPr>
          <w:rFonts w:cs="Arial"/>
          <w:szCs w:val="24"/>
        </w:rPr>
      </w:pPr>
    </w:p>
    <w:p w:rsidR="003E5827" w:rsidRPr="00C50942" w:rsidRDefault="003E5827" w:rsidP="003E5827">
      <w:pPr>
        <w:rPr>
          <w:rFonts w:cs="Arial"/>
          <w:szCs w:val="24"/>
        </w:rPr>
      </w:pPr>
    </w:p>
    <w:p w:rsidR="003E5827" w:rsidRPr="00C50942" w:rsidRDefault="003E5827" w:rsidP="003E5827">
      <w:pPr>
        <w:rPr>
          <w:rFonts w:cs="Arial"/>
          <w:szCs w:val="24"/>
        </w:rPr>
      </w:pPr>
    </w:p>
    <w:p w:rsidR="003E5827" w:rsidRPr="00C50942" w:rsidRDefault="003E5827" w:rsidP="003E5827">
      <w:pPr>
        <w:rPr>
          <w:rFonts w:cs="Arial"/>
          <w:szCs w:val="24"/>
        </w:rPr>
      </w:pPr>
    </w:p>
    <w:p w:rsidR="003E5827" w:rsidRPr="00C50942" w:rsidRDefault="003E5827" w:rsidP="003E5827">
      <w:pPr>
        <w:rPr>
          <w:rFonts w:cs="Arial"/>
          <w:szCs w:val="24"/>
        </w:rPr>
      </w:pPr>
    </w:p>
    <w:p w:rsidR="003E5827" w:rsidRPr="00C50942" w:rsidRDefault="003E5827" w:rsidP="003E5827">
      <w:pPr>
        <w:rPr>
          <w:rFonts w:cs="Arial"/>
          <w:szCs w:val="24"/>
        </w:rPr>
      </w:pPr>
    </w:p>
    <w:p w:rsidR="003E5827" w:rsidRPr="00C50942" w:rsidRDefault="003E5827" w:rsidP="003E5827">
      <w:pPr>
        <w:rPr>
          <w:rFonts w:cs="Arial"/>
          <w:szCs w:val="24"/>
        </w:rPr>
      </w:pPr>
    </w:p>
    <w:p w:rsidR="003E5827" w:rsidRPr="00C50942" w:rsidRDefault="003E5827" w:rsidP="003E5827">
      <w:pPr>
        <w:rPr>
          <w:rFonts w:cs="Arial"/>
          <w:szCs w:val="24"/>
        </w:rPr>
      </w:pPr>
    </w:p>
    <w:p w:rsidR="003E5827" w:rsidRPr="00C50942" w:rsidRDefault="003E5827" w:rsidP="003E5827">
      <w:pPr>
        <w:rPr>
          <w:rFonts w:cs="Arial"/>
          <w:szCs w:val="24"/>
        </w:rPr>
      </w:pPr>
    </w:p>
    <w:p w:rsidR="003E5827" w:rsidRPr="00C50942" w:rsidRDefault="003E5827" w:rsidP="003E5827">
      <w:pPr>
        <w:rPr>
          <w:rFonts w:eastAsiaTheme="minorHAnsi" w:cs="Arial"/>
          <w:b/>
          <w:szCs w:val="24"/>
        </w:rPr>
      </w:pPr>
    </w:p>
    <w:p w:rsidR="003E5827" w:rsidRPr="00C50942" w:rsidRDefault="003E5827" w:rsidP="003E5827">
      <w:pPr>
        <w:spacing w:after="240"/>
        <w:rPr>
          <w:rFonts w:cs="Arial"/>
          <w:b/>
          <w:spacing w:val="60"/>
          <w:szCs w:val="24"/>
        </w:rPr>
      </w:pPr>
    </w:p>
    <w:p w:rsidR="003E5827" w:rsidRPr="00C453E3" w:rsidRDefault="003E5827" w:rsidP="003E5827">
      <w:pPr>
        <w:tabs>
          <w:tab w:val="left" w:pos="2694"/>
        </w:tabs>
        <w:ind w:left="2694" w:hanging="2694"/>
        <w:rPr>
          <w:rFonts w:cs="Arial"/>
          <w:szCs w:val="24"/>
        </w:rPr>
      </w:pPr>
      <w:r w:rsidRPr="00C50942">
        <w:rPr>
          <w:rFonts w:cs="Arial"/>
          <w:b/>
          <w:szCs w:val="24"/>
        </w:rPr>
        <w:t xml:space="preserve">Thema: </w:t>
      </w:r>
      <w:r>
        <w:rPr>
          <w:rFonts w:cs="Arial"/>
          <w:b/>
          <w:szCs w:val="24"/>
        </w:rPr>
        <w:tab/>
        <w:t>Fachdidaktische Aufbereitung des Themas</w:t>
      </w:r>
      <w:r>
        <w:rPr>
          <w:rFonts w:cs="Arial"/>
          <w:b/>
          <w:szCs w:val="24"/>
        </w:rPr>
        <w:br/>
        <w:t>Gewährleistung/ Garantie</w:t>
      </w:r>
    </w:p>
    <w:p w:rsidR="003E5827" w:rsidRDefault="003E5827" w:rsidP="003E5827">
      <w:pPr>
        <w:tabs>
          <w:tab w:val="left" w:pos="2694"/>
          <w:tab w:val="left" w:pos="5445"/>
        </w:tabs>
        <w:rPr>
          <w:rFonts w:eastAsiaTheme="minorHAnsi" w:cs="Arial"/>
          <w:szCs w:val="24"/>
        </w:rPr>
      </w:pPr>
      <w:r w:rsidRPr="00C50942">
        <w:rPr>
          <w:rFonts w:eastAsiaTheme="minorHAnsi" w:cs="Arial"/>
          <w:b/>
          <w:szCs w:val="24"/>
        </w:rPr>
        <w:t>Eingereicht von:</w:t>
      </w:r>
      <w:r w:rsidRPr="00C453E3">
        <w:rPr>
          <w:rFonts w:eastAsiaTheme="minorHAnsi" w:cs="Arial"/>
          <w:szCs w:val="24"/>
        </w:rPr>
        <w:t xml:space="preserve"> </w:t>
      </w:r>
      <w:r>
        <w:rPr>
          <w:rFonts w:eastAsiaTheme="minorHAnsi" w:cs="Arial"/>
          <w:szCs w:val="24"/>
        </w:rPr>
        <w:tab/>
      </w:r>
      <w:r w:rsidR="00375959">
        <w:rPr>
          <w:rFonts w:eastAsiaTheme="minorHAnsi" w:cs="Arial"/>
          <w:szCs w:val="24"/>
        </w:rPr>
        <w:t xml:space="preserve">Mag. </w:t>
      </w:r>
      <w:r>
        <w:rPr>
          <w:rFonts w:eastAsiaTheme="minorHAnsi" w:cs="Arial"/>
          <w:szCs w:val="24"/>
        </w:rPr>
        <w:t xml:space="preserve">Carmen </w:t>
      </w:r>
      <w:proofErr w:type="spellStart"/>
      <w:r>
        <w:rPr>
          <w:rFonts w:eastAsiaTheme="minorHAnsi" w:cs="Arial"/>
          <w:szCs w:val="24"/>
        </w:rPr>
        <w:t>Thummer</w:t>
      </w:r>
      <w:proofErr w:type="spellEnd"/>
    </w:p>
    <w:p w:rsidR="003E5827" w:rsidRPr="006C6BB2" w:rsidRDefault="003E5827" w:rsidP="003E5827">
      <w:pPr>
        <w:tabs>
          <w:tab w:val="left" w:pos="2694"/>
          <w:tab w:val="left" w:pos="5445"/>
        </w:tabs>
        <w:rPr>
          <w:rFonts w:eastAsiaTheme="minorHAnsi" w:cs="Arial"/>
          <w:b/>
          <w:szCs w:val="24"/>
        </w:rPr>
      </w:pPr>
      <w:r w:rsidRPr="006C6BB2">
        <w:rPr>
          <w:rFonts w:eastAsiaTheme="minorHAnsi" w:cs="Arial"/>
          <w:b/>
          <w:szCs w:val="24"/>
        </w:rPr>
        <w:t>Matrikelnummer:</w:t>
      </w:r>
      <w:r>
        <w:rPr>
          <w:rFonts w:eastAsiaTheme="minorHAnsi" w:cs="Arial"/>
          <w:b/>
          <w:szCs w:val="24"/>
        </w:rPr>
        <w:tab/>
        <w:t>1383031</w:t>
      </w:r>
    </w:p>
    <w:p w:rsidR="003E5827" w:rsidRPr="00DE555F" w:rsidRDefault="003E5827" w:rsidP="003E5827">
      <w:pPr>
        <w:tabs>
          <w:tab w:val="left" w:pos="2694"/>
        </w:tabs>
        <w:rPr>
          <w:rFonts w:eastAsiaTheme="minorHAnsi" w:cs="Arial"/>
          <w:szCs w:val="24"/>
        </w:rPr>
      </w:pPr>
      <w:r w:rsidRPr="00C50942">
        <w:rPr>
          <w:rFonts w:eastAsiaTheme="minorHAnsi" w:cs="Arial"/>
          <w:b/>
          <w:szCs w:val="24"/>
        </w:rPr>
        <w:t xml:space="preserve">Datum: </w:t>
      </w:r>
      <w:r>
        <w:rPr>
          <w:rFonts w:eastAsiaTheme="minorHAnsi" w:cs="Arial"/>
          <w:b/>
          <w:szCs w:val="24"/>
        </w:rPr>
        <w:tab/>
      </w:r>
      <w:r w:rsidR="00E06E51">
        <w:rPr>
          <w:rFonts w:eastAsiaTheme="minorHAnsi" w:cs="Arial"/>
          <w:szCs w:val="24"/>
        </w:rPr>
        <w:t>8</w:t>
      </w:r>
      <w:r>
        <w:rPr>
          <w:rFonts w:eastAsiaTheme="minorHAnsi" w:cs="Arial"/>
          <w:szCs w:val="24"/>
        </w:rPr>
        <w:t>. November 2016</w:t>
      </w:r>
    </w:p>
    <w:p w:rsidR="003E5827" w:rsidRPr="00C50942" w:rsidRDefault="003E5827" w:rsidP="003E5827">
      <w:pPr>
        <w:rPr>
          <w:rFonts w:eastAsiaTheme="minorHAnsi" w:cs="Arial"/>
          <w:b/>
          <w:szCs w:val="24"/>
        </w:rPr>
      </w:pPr>
    </w:p>
    <w:p w:rsidR="003E5827" w:rsidRPr="00C50942" w:rsidRDefault="003E5827" w:rsidP="003E5827">
      <w:pPr>
        <w:rPr>
          <w:rFonts w:eastAsiaTheme="minorHAnsi" w:cs="Arial"/>
          <w:b/>
          <w:szCs w:val="24"/>
        </w:rPr>
      </w:pPr>
    </w:p>
    <w:p w:rsidR="003E5827" w:rsidRPr="00C453E3" w:rsidRDefault="003E5827" w:rsidP="003E5827">
      <w:pPr>
        <w:tabs>
          <w:tab w:val="left" w:pos="2694"/>
        </w:tabs>
        <w:rPr>
          <w:rFonts w:eastAsiaTheme="minorHAnsi" w:cs="Arial"/>
          <w:szCs w:val="24"/>
        </w:rPr>
      </w:pPr>
      <w:r w:rsidRPr="00C50942">
        <w:rPr>
          <w:rFonts w:eastAsiaTheme="minorHAnsi" w:cs="Arial"/>
          <w:b/>
          <w:szCs w:val="24"/>
        </w:rPr>
        <w:t xml:space="preserve">Modulnummer: </w:t>
      </w:r>
      <w:r>
        <w:rPr>
          <w:rFonts w:eastAsiaTheme="minorHAnsi" w:cs="Arial"/>
          <w:b/>
          <w:szCs w:val="24"/>
        </w:rPr>
        <w:tab/>
      </w:r>
      <w:r>
        <w:rPr>
          <w:rFonts w:eastAsiaTheme="minorHAnsi" w:cs="Arial"/>
          <w:b/>
          <w:szCs w:val="24"/>
        </w:rPr>
        <w:tab/>
      </w:r>
      <w:r>
        <w:rPr>
          <w:rFonts w:eastAsiaTheme="minorHAnsi" w:cs="Arial"/>
          <w:szCs w:val="24"/>
        </w:rPr>
        <w:t>723 BT 01</w:t>
      </w:r>
    </w:p>
    <w:p w:rsidR="003E5827" w:rsidRPr="00BA19AF" w:rsidRDefault="003E5827" w:rsidP="003E5827">
      <w:pPr>
        <w:pStyle w:val="KeinLeerraum"/>
      </w:pPr>
      <w:r w:rsidRPr="00BA19AF">
        <w:rPr>
          <w:b/>
        </w:rPr>
        <w:t>Modulbezeichnung:</w:t>
      </w:r>
      <w:r>
        <w:rPr>
          <w:b/>
        </w:rPr>
        <w:tab/>
      </w:r>
      <w:r w:rsidRPr="00BA19AF">
        <w:t xml:space="preserve">Methoden, Medien und Bildungsstandards in der </w:t>
      </w:r>
    </w:p>
    <w:p w:rsidR="003E5827" w:rsidRPr="00BA19AF" w:rsidRDefault="003E5827" w:rsidP="003E5827">
      <w:pPr>
        <w:pStyle w:val="KeinLeerraum"/>
        <w:ind w:left="1416" w:firstLine="708"/>
      </w:pPr>
      <w:r>
        <w:t xml:space="preserve">   </w:t>
      </w:r>
      <w:r>
        <w:tab/>
      </w:r>
      <w:r w:rsidRPr="00BA19AF">
        <w:t>Berufsbildung</w:t>
      </w:r>
    </w:p>
    <w:p w:rsidR="003E5827" w:rsidRPr="00BA19AF" w:rsidRDefault="003E5827" w:rsidP="003E5827">
      <w:pPr>
        <w:pStyle w:val="KeinLeerraum"/>
        <w:ind w:left="1416" w:firstLine="708"/>
        <w:rPr>
          <w:b/>
        </w:rPr>
      </w:pPr>
    </w:p>
    <w:p w:rsidR="003E5827" w:rsidRPr="00C453E3" w:rsidRDefault="003E5827" w:rsidP="003E5827">
      <w:pPr>
        <w:tabs>
          <w:tab w:val="left" w:pos="2694"/>
        </w:tabs>
        <w:rPr>
          <w:rFonts w:eastAsiaTheme="minorHAnsi" w:cs="Arial"/>
          <w:szCs w:val="24"/>
        </w:rPr>
      </w:pPr>
      <w:r w:rsidRPr="00C50942">
        <w:rPr>
          <w:rFonts w:eastAsiaTheme="minorHAnsi" w:cs="Arial"/>
          <w:b/>
          <w:szCs w:val="24"/>
        </w:rPr>
        <w:t>Lehrveranstaltung:</w:t>
      </w:r>
      <w:r w:rsidRPr="00C453E3">
        <w:rPr>
          <w:rFonts w:eastAsiaTheme="minorHAnsi" w:cs="Arial"/>
          <w:szCs w:val="24"/>
        </w:rPr>
        <w:t xml:space="preserve"> </w:t>
      </w:r>
      <w:r>
        <w:rPr>
          <w:rFonts w:eastAsiaTheme="minorHAnsi" w:cs="Arial"/>
          <w:szCs w:val="24"/>
        </w:rPr>
        <w:tab/>
      </w:r>
      <w:r>
        <w:rPr>
          <w:rFonts w:eastAsiaTheme="minorHAnsi" w:cs="Arial"/>
          <w:szCs w:val="24"/>
        </w:rPr>
        <w:tab/>
        <w:t>Fachdidaktik</w:t>
      </w:r>
    </w:p>
    <w:p w:rsidR="004B1F96" w:rsidRDefault="003E5827" w:rsidP="003E5827">
      <w:pPr>
        <w:tabs>
          <w:tab w:val="left" w:pos="2694"/>
        </w:tabs>
        <w:rPr>
          <w:rFonts w:eastAsiaTheme="minorHAnsi" w:cs="Arial"/>
          <w:szCs w:val="24"/>
        </w:rPr>
        <w:sectPr w:rsidR="004B1F96" w:rsidSect="00AA60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pgNumType w:start="1"/>
          <w:cols w:space="708"/>
          <w:titlePg/>
          <w:docGrid w:linePitch="360"/>
        </w:sectPr>
      </w:pPr>
      <w:r>
        <w:rPr>
          <w:rFonts w:eastAsiaTheme="minorHAnsi" w:cs="Arial"/>
          <w:b/>
          <w:szCs w:val="24"/>
        </w:rPr>
        <w:t xml:space="preserve">Eingereicht bei: </w:t>
      </w:r>
      <w:r>
        <w:rPr>
          <w:rFonts w:eastAsiaTheme="minorHAnsi" w:cs="Arial"/>
          <w:b/>
          <w:szCs w:val="24"/>
        </w:rPr>
        <w:tab/>
      </w:r>
      <w:r>
        <w:rPr>
          <w:rFonts w:eastAsiaTheme="minorHAnsi" w:cs="Arial"/>
          <w:b/>
          <w:szCs w:val="24"/>
        </w:rPr>
        <w:tab/>
      </w:r>
      <w:r w:rsidR="005B59C1">
        <w:rPr>
          <w:rFonts w:eastAsiaTheme="minorHAnsi" w:cs="Arial"/>
          <w:szCs w:val="24"/>
        </w:rPr>
        <w:t xml:space="preserve">Prof. Bernd </w:t>
      </w:r>
      <w:proofErr w:type="spellStart"/>
      <w:r w:rsidR="005B59C1">
        <w:rPr>
          <w:rFonts w:eastAsiaTheme="minorHAnsi" w:cs="Arial"/>
          <w:szCs w:val="24"/>
        </w:rPr>
        <w:t>Neyer</w:t>
      </w:r>
      <w:proofErr w:type="spellEnd"/>
    </w:p>
    <w:p w:rsidR="004B1F96" w:rsidRPr="0049358E" w:rsidRDefault="004B1F96" w:rsidP="005B59C1">
      <w:pPr>
        <w:pStyle w:val="Listenabsatz"/>
        <w:numPr>
          <w:ilvl w:val="0"/>
          <w:numId w:val="31"/>
        </w:numPr>
        <w:ind w:left="357" w:hanging="357"/>
      </w:pPr>
      <w:r w:rsidRPr="0049358E">
        <w:rPr>
          <w:rFonts w:cs="Arial"/>
          <w:b/>
          <w:szCs w:val="24"/>
        </w:rPr>
        <w:lastRenderedPageBreak/>
        <w:t>Beschreibung des Themas im größeren Zusammenhang:</w:t>
      </w:r>
    </w:p>
    <w:tbl>
      <w:tblPr>
        <w:tblStyle w:val="Tabellenraster"/>
        <w:tblW w:w="16145"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03"/>
        <w:gridCol w:w="1007"/>
        <w:gridCol w:w="552"/>
        <w:gridCol w:w="1858"/>
        <w:gridCol w:w="284"/>
        <w:gridCol w:w="1544"/>
        <w:gridCol w:w="1263"/>
        <w:gridCol w:w="2847"/>
        <w:gridCol w:w="1418"/>
        <w:gridCol w:w="1843"/>
        <w:gridCol w:w="2126"/>
      </w:tblGrid>
      <w:tr w:rsidR="004B1F96" w:rsidTr="00787B81">
        <w:trPr>
          <w:trHeight w:val="368"/>
          <w:jc w:val="center"/>
        </w:trPr>
        <w:tc>
          <w:tcPr>
            <w:tcW w:w="16145" w:type="dxa"/>
            <w:gridSpan w:val="11"/>
            <w:tcBorders>
              <w:top w:val="single" w:sz="12" w:space="0" w:color="auto"/>
              <w:bottom w:val="single" w:sz="4" w:space="0" w:color="auto"/>
            </w:tcBorders>
            <w:shd w:val="clear" w:color="auto" w:fill="808080" w:themeFill="background1" w:themeFillShade="80"/>
            <w:vAlign w:val="center"/>
          </w:tcPr>
          <w:p w:rsidR="004B1F96" w:rsidRPr="00787B81" w:rsidRDefault="004B1F96" w:rsidP="00BF62C5">
            <w:pPr>
              <w:spacing w:after="0" w:line="240" w:lineRule="auto"/>
              <w:jc w:val="center"/>
              <w:rPr>
                <w:b/>
                <w:sz w:val="32"/>
              </w:rPr>
            </w:pPr>
            <w:r w:rsidRPr="00787B81">
              <w:rPr>
                <w:b/>
                <w:sz w:val="32"/>
              </w:rPr>
              <w:t>Unregelmäßigkeiten durch den</w:t>
            </w:r>
            <w:r w:rsidR="006751B8" w:rsidRPr="00787B81">
              <w:rPr>
                <w:b/>
                <w:sz w:val="32"/>
              </w:rPr>
              <w:t>/die</w:t>
            </w:r>
          </w:p>
        </w:tc>
      </w:tr>
      <w:tr w:rsidR="004B1F96" w:rsidTr="00787B81">
        <w:trPr>
          <w:trHeight w:val="268"/>
          <w:jc w:val="center"/>
        </w:trPr>
        <w:tc>
          <w:tcPr>
            <w:tcW w:w="7911" w:type="dxa"/>
            <w:gridSpan w:val="7"/>
            <w:tcBorders>
              <w:top w:val="single" w:sz="4" w:space="0" w:color="auto"/>
              <w:bottom w:val="single" w:sz="12" w:space="0" w:color="auto"/>
            </w:tcBorders>
            <w:shd w:val="clear" w:color="auto" w:fill="808080" w:themeFill="background1" w:themeFillShade="80"/>
            <w:vAlign w:val="center"/>
          </w:tcPr>
          <w:p w:rsidR="004B1F96" w:rsidRPr="00787B81" w:rsidRDefault="004B1F96" w:rsidP="00BF62C5">
            <w:pPr>
              <w:spacing w:after="0" w:line="240" w:lineRule="auto"/>
              <w:jc w:val="center"/>
              <w:rPr>
                <w:b/>
                <w:sz w:val="32"/>
              </w:rPr>
            </w:pPr>
            <w:r w:rsidRPr="00787B81">
              <w:rPr>
                <w:b/>
                <w:sz w:val="32"/>
              </w:rPr>
              <w:t>Käufer</w:t>
            </w:r>
            <w:r w:rsidR="006751B8" w:rsidRPr="00787B81">
              <w:rPr>
                <w:b/>
                <w:sz w:val="32"/>
              </w:rPr>
              <w:t>/Käuferin</w:t>
            </w:r>
          </w:p>
        </w:tc>
        <w:tc>
          <w:tcPr>
            <w:tcW w:w="8234" w:type="dxa"/>
            <w:gridSpan w:val="4"/>
            <w:tcBorders>
              <w:top w:val="single" w:sz="4" w:space="0" w:color="auto"/>
              <w:bottom w:val="single" w:sz="12" w:space="0" w:color="auto"/>
            </w:tcBorders>
            <w:shd w:val="clear" w:color="auto" w:fill="808080" w:themeFill="background1" w:themeFillShade="80"/>
            <w:vAlign w:val="center"/>
          </w:tcPr>
          <w:p w:rsidR="004B1F96" w:rsidRPr="00787B81" w:rsidRDefault="004B1F96" w:rsidP="00BF62C5">
            <w:pPr>
              <w:spacing w:after="0" w:line="240" w:lineRule="auto"/>
              <w:jc w:val="center"/>
              <w:rPr>
                <w:b/>
                <w:sz w:val="32"/>
              </w:rPr>
            </w:pPr>
            <w:r w:rsidRPr="00787B81">
              <w:rPr>
                <w:b/>
                <w:sz w:val="32"/>
              </w:rPr>
              <w:t>Verkäufer</w:t>
            </w:r>
            <w:r w:rsidR="006751B8" w:rsidRPr="00787B81">
              <w:rPr>
                <w:b/>
                <w:sz w:val="32"/>
              </w:rPr>
              <w:t>/Verkäuferin</w:t>
            </w:r>
          </w:p>
        </w:tc>
      </w:tr>
      <w:tr w:rsidR="004B1F96" w:rsidTr="00787B81">
        <w:trPr>
          <w:trHeight w:val="492"/>
          <w:jc w:val="center"/>
        </w:trPr>
        <w:tc>
          <w:tcPr>
            <w:tcW w:w="7911" w:type="dxa"/>
            <w:gridSpan w:val="7"/>
            <w:tcBorders>
              <w:top w:val="single" w:sz="12" w:space="0" w:color="auto"/>
              <w:bottom w:val="single" w:sz="2" w:space="0" w:color="auto"/>
              <w:right w:val="single" w:sz="12" w:space="0" w:color="auto"/>
            </w:tcBorders>
            <w:shd w:val="clear" w:color="auto" w:fill="BFBFBF" w:themeFill="background1" w:themeFillShade="BF"/>
            <w:vAlign w:val="center"/>
          </w:tcPr>
          <w:p w:rsidR="004B1F96" w:rsidRPr="006616CE" w:rsidRDefault="004B1F96" w:rsidP="00BF62C5">
            <w:pPr>
              <w:pStyle w:val="Listenabsatz"/>
              <w:numPr>
                <w:ilvl w:val="0"/>
                <w:numId w:val="18"/>
              </w:numPr>
              <w:spacing w:after="0" w:line="240" w:lineRule="auto"/>
              <w:rPr>
                <w:b/>
              </w:rPr>
            </w:pPr>
            <w:r w:rsidRPr="006616CE">
              <w:rPr>
                <w:b/>
                <w:sz w:val="28"/>
              </w:rPr>
              <w:t>Abänderung/Widerruf der Bestellung</w:t>
            </w:r>
          </w:p>
        </w:tc>
        <w:tc>
          <w:tcPr>
            <w:tcW w:w="8234" w:type="dxa"/>
            <w:gridSpan w:val="4"/>
            <w:tcBorders>
              <w:top w:val="single" w:sz="12" w:space="0" w:color="auto"/>
              <w:left w:val="single" w:sz="12" w:space="0" w:color="auto"/>
              <w:bottom w:val="dotted" w:sz="4" w:space="0" w:color="auto"/>
            </w:tcBorders>
            <w:shd w:val="clear" w:color="auto" w:fill="BFBFBF" w:themeFill="background1" w:themeFillShade="BF"/>
            <w:vAlign w:val="center"/>
          </w:tcPr>
          <w:p w:rsidR="004B1F96" w:rsidRPr="006616CE" w:rsidRDefault="004B1F96" w:rsidP="00BF62C5">
            <w:pPr>
              <w:pStyle w:val="Listenabsatz"/>
              <w:numPr>
                <w:ilvl w:val="0"/>
                <w:numId w:val="19"/>
              </w:numPr>
              <w:spacing w:after="0" w:line="240" w:lineRule="auto"/>
              <w:rPr>
                <w:b/>
              </w:rPr>
            </w:pPr>
            <w:r w:rsidRPr="006616CE">
              <w:rPr>
                <w:b/>
                <w:sz w:val="28"/>
              </w:rPr>
              <w:t>Mangelhafte Rechnung</w:t>
            </w:r>
          </w:p>
        </w:tc>
      </w:tr>
      <w:tr w:rsidR="004B1F96" w:rsidTr="00787B81">
        <w:trPr>
          <w:trHeight w:val="567"/>
          <w:jc w:val="center"/>
        </w:trPr>
        <w:tc>
          <w:tcPr>
            <w:tcW w:w="7911" w:type="dxa"/>
            <w:gridSpan w:val="7"/>
            <w:tcBorders>
              <w:top w:val="single" w:sz="2" w:space="0" w:color="auto"/>
              <w:bottom w:val="dotted" w:sz="4" w:space="0" w:color="auto"/>
              <w:right w:val="single" w:sz="12" w:space="0" w:color="auto"/>
            </w:tcBorders>
            <w:shd w:val="clear" w:color="auto" w:fill="BFBFBF" w:themeFill="background1" w:themeFillShade="BF"/>
            <w:vAlign w:val="center"/>
          </w:tcPr>
          <w:p w:rsidR="004B1F96" w:rsidRPr="00FE616F" w:rsidRDefault="004B1F96" w:rsidP="00BF62C5">
            <w:pPr>
              <w:pStyle w:val="Listenabsatz"/>
              <w:numPr>
                <w:ilvl w:val="0"/>
                <w:numId w:val="18"/>
              </w:numPr>
              <w:spacing w:after="0" w:line="240" w:lineRule="auto"/>
              <w:rPr>
                <w:b/>
                <w:sz w:val="28"/>
              </w:rPr>
            </w:pPr>
            <w:r w:rsidRPr="00877A1E">
              <w:rPr>
                <w:b/>
                <w:sz w:val="28"/>
              </w:rPr>
              <w:t>Annahmeverzug</w:t>
            </w:r>
          </w:p>
        </w:tc>
        <w:tc>
          <w:tcPr>
            <w:tcW w:w="4265" w:type="dxa"/>
            <w:gridSpan w:val="2"/>
            <w:tcBorders>
              <w:top w:val="dotted" w:sz="4" w:space="0" w:color="auto"/>
              <w:left w:val="single" w:sz="12" w:space="0" w:color="auto"/>
              <w:bottom w:val="single" w:sz="4" w:space="0" w:color="auto"/>
              <w:right w:val="dotted" w:sz="4" w:space="0" w:color="auto"/>
            </w:tcBorders>
            <w:vAlign w:val="center"/>
          </w:tcPr>
          <w:p w:rsidR="004B1F96" w:rsidRDefault="004B1F96" w:rsidP="00BF62C5">
            <w:pPr>
              <w:spacing w:after="0" w:line="240" w:lineRule="auto"/>
              <w:jc w:val="center"/>
            </w:pPr>
            <w:r>
              <w:t>Kontrolle der Rechnung</w:t>
            </w:r>
            <w:r w:rsidRPr="004545A0">
              <w:sym w:font="Wingdings" w:char="F0E0"/>
            </w:r>
            <w:r>
              <w:t xml:space="preserve"> Bestellung &amp; Lieferung</w:t>
            </w:r>
          </w:p>
        </w:tc>
        <w:tc>
          <w:tcPr>
            <w:tcW w:w="3969" w:type="dxa"/>
            <w:gridSpan w:val="2"/>
            <w:tcBorders>
              <w:top w:val="dotted" w:sz="4" w:space="0" w:color="auto"/>
              <w:left w:val="dotted" w:sz="4" w:space="0" w:color="auto"/>
              <w:bottom w:val="single" w:sz="4" w:space="0" w:color="auto"/>
            </w:tcBorders>
            <w:vAlign w:val="center"/>
          </w:tcPr>
          <w:p w:rsidR="004B1F96" w:rsidRDefault="004B1F96" w:rsidP="00BF62C5">
            <w:pPr>
              <w:spacing w:after="0" w:line="240" w:lineRule="auto"/>
              <w:jc w:val="center"/>
            </w:pPr>
            <w:r>
              <w:t>Rechnungskorrektur</w:t>
            </w:r>
          </w:p>
        </w:tc>
      </w:tr>
      <w:tr w:rsidR="004B1F96" w:rsidTr="00787B81">
        <w:trPr>
          <w:trHeight w:val="567"/>
          <w:jc w:val="center"/>
        </w:trPr>
        <w:tc>
          <w:tcPr>
            <w:tcW w:w="2410" w:type="dxa"/>
            <w:gridSpan w:val="2"/>
            <w:tcBorders>
              <w:top w:val="dotted" w:sz="4" w:space="0" w:color="auto"/>
              <w:bottom w:val="single" w:sz="2" w:space="0" w:color="auto"/>
              <w:right w:val="dotted" w:sz="4" w:space="0" w:color="auto"/>
            </w:tcBorders>
            <w:shd w:val="clear" w:color="auto" w:fill="FFFFFF" w:themeFill="background1"/>
            <w:vAlign w:val="center"/>
          </w:tcPr>
          <w:p w:rsidR="004B1F96" w:rsidRPr="00787B81" w:rsidRDefault="004B1F96" w:rsidP="00BF62C5">
            <w:pPr>
              <w:spacing w:after="0" w:line="240" w:lineRule="auto"/>
              <w:jc w:val="center"/>
              <w:rPr>
                <w:sz w:val="22"/>
              </w:rPr>
            </w:pPr>
            <w:r w:rsidRPr="00787B81">
              <w:rPr>
                <w:sz w:val="22"/>
              </w:rPr>
              <w:t>Gründe</w:t>
            </w:r>
          </w:p>
        </w:tc>
        <w:tc>
          <w:tcPr>
            <w:tcW w:w="2694" w:type="dxa"/>
            <w:gridSpan w:val="3"/>
            <w:tcBorders>
              <w:top w:val="dotted" w:sz="4" w:space="0" w:color="auto"/>
              <w:left w:val="dotted" w:sz="4" w:space="0" w:color="auto"/>
              <w:bottom w:val="single" w:sz="2" w:space="0" w:color="auto"/>
              <w:right w:val="dotted" w:sz="4" w:space="0" w:color="auto"/>
            </w:tcBorders>
            <w:shd w:val="clear" w:color="auto" w:fill="FFFFFF" w:themeFill="background1"/>
            <w:vAlign w:val="center"/>
          </w:tcPr>
          <w:p w:rsidR="004B1F96" w:rsidRPr="00787B81" w:rsidRDefault="004B1F96" w:rsidP="00BF62C5">
            <w:pPr>
              <w:spacing w:after="0" w:line="240" w:lineRule="auto"/>
              <w:jc w:val="center"/>
              <w:rPr>
                <w:sz w:val="22"/>
              </w:rPr>
            </w:pPr>
            <w:r w:rsidRPr="00787B81">
              <w:rPr>
                <w:sz w:val="22"/>
              </w:rPr>
              <w:t>Rechte des Verkäufers</w:t>
            </w:r>
            <w:r w:rsidR="006751B8" w:rsidRPr="00787B81">
              <w:rPr>
                <w:sz w:val="22"/>
              </w:rPr>
              <w:t>/der Verkäuferin</w:t>
            </w:r>
          </w:p>
        </w:tc>
        <w:tc>
          <w:tcPr>
            <w:tcW w:w="2807" w:type="dxa"/>
            <w:gridSpan w:val="2"/>
            <w:tcBorders>
              <w:top w:val="dotted" w:sz="4" w:space="0" w:color="auto"/>
              <w:left w:val="dotted" w:sz="4" w:space="0" w:color="auto"/>
              <w:bottom w:val="single" w:sz="2" w:space="0" w:color="auto"/>
              <w:right w:val="single" w:sz="12" w:space="0" w:color="auto"/>
            </w:tcBorders>
            <w:shd w:val="clear" w:color="auto" w:fill="FFFFFF" w:themeFill="background1"/>
            <w:vAlign w:val="center"/>
          </w:tcPr>
          <w:p w:rsidR="004B1F96" w:rsidRPr="00787B81" w:rsidRDefault="004B1F96" w:rsidP="00BF62C5">
            <w:pPr>
              <w:spacing w:after="0" w:line="240" w:lineRule="auto"/>
              <w:jc w:val="center"/>
              <w:rPr>
                <w:sz w:val="22"/>
              </w:rPr>
            </w:pPr>
            <w:r w:rsidRPr="00787B81">
              <w:rPr>
                <w:sz w:val="22"/>
              </w:rPr>
              <w:t>Rechte des Käufers</w:t>
            </w:r>
            <w:r w:rsidR="006751B8" w:rsidRPr="00787B81">
              <w:rPr>
                <w:sz w:val="22"/>
              </w:rPr>
              <w:t>/der Käuferin</w:t>
            </w:r>
          </w:p>
        </w:tc>
        <w:tc>
          <w:tcPr>
            <w:tcW w:w="8234" w:type="dxa"/>
            <w:gridSpan w:val="4"/>
            <w:tcBorders>
              <w:top w:val="single" w:sz="4" w:space="0" w:color="auto"/>
              <w:left w:val="single" w:sz="12" w:space="0" w:color="auto"/>
              <w:bottom w:val="dotted" w:sz="4" w:space="0" w:color="auto"/>
            </w:tcBorders>
            <w:shd w:val="clear" w:color="auto" w:fill="BFBFBF" w:themeFill="background1" w:themeFillShade="BF"/>
            <w:vAlign w:val="center"/>
          </w:tcPr>
          <w:p w:rsidR="004B1F96" w:rsidRPr="006616CE" w:rsidRDefault="004B1F96" w:rsidP="00BF62C5">
            <w:pPr>
              <w:pStyle w:val="Listenabsatz"/>
              <w:numPr>
                <w:ilvl w:val="0"/>
                <w:numId w:val="20"/>
              </w:numPr>
              <w:spacing w:after="0" w:line="240" w:lineRule="auto"/>
              <w:rPr>
                <w:b/>
                <w:sz w:val="28"/>
              </w:rPr>
            </w:pPr>
            <w:r w:rsidRPr="006616CE">
              <w:rPr>
                <w:b/>
                <w:sz w:val="28"/>
              </w:rPr>
              <w:t>Lieferverzug</w:t>
            </w:r>
          </w:p>
        </w:tc>
      </w:tr>
      <w:tr w:rsidR="004B1F96" w:rsidTr="00787B81">
        <w:trPr>
          <w:trHeight w:val="408"/>
          <w:jc w:val="center"/>
        </w:trPr>
        <w:tc>
          <w:tcPr>
            <w:tcW w:w="7911" w:type="dxa"/>
            <w:gridSpan w:val="7"/>
            <w:tcBorders>
              <w:top w:val="single" w:sz="2" w:space="0" w:color="auto"/>
              <w:bottom w:val="dotted" w:sz="4" w:space="0" w:color="auto"/>
              <w:right w:val="single" w:sz="12" w:space="0" w:color="auto"/>
            </w:tcBorders>
            <w:shd w:val="clear" w:color="auto" w:fill="BFBFBF" w:themeFill="background1" w:themeFillShade="BF"/>
            <w:vAlign w:val="center"/>
          </w:tcPr>
          <w:p w:rsidR="004B1F96" w:rsidRPr="00FE616F" w:rsidRDefault="004B1F96" w:rsidP="00BF62C5">
            <w:pPr>
              <w:pStyle w:val="Listenabsatz"/>
              <w:numPr>
                <w:ilvl w:val="0"/>
                <w:numId w:val="18"/>
              </w:numPr>
              <w:spacing w:after="0" w:line="240" w:lineRule="auto"/>
            </w:pPr>
            <w:r w:rsidRPr="00883D56">
              <w:rPr>
                <w:b/>
                <w:sz w:val="28"/>
              </w:rPr>
              <w:t>Zahlungsverzug</w:t>
            </w:r>
          </w:p>
        </w:tc>
        <w:tc>
          <w:tcPr>
            <w:tcW w:w="2847" w:type="dxa"/>
            <w:tcBorders>
              <w:top w:val="dotted" w:sz="4" w:space="0" w:color="auto"/>
              <w:left w:val="single" w:sz="12" w:space="0" w:color="auto"/>
              <w:bottom w:val="single" w:sz="4" w:space="0" w:color="auto"/>
              <w:right w:val="dotted" w:sz="4" w:space="0" w:color="auto"/>
            </w:tcBorders>
            <w:shd w:val="clear" w:color="auto" w:fill="FFFFFF" w:themeFill="background1"/>
            <w:vAlign w:val="center"/>
          </w:tcPr>
          <w:p w:rsidR="004B1F96" w:rsidRDefault="00787B81" w:rsidP="00BF62C5">
            <w:pPr>
              <w:spacing w:after="0" w:line="240" w:lineRule="auto"/>
              <w:jc w:val="center"/>
            </w:pPr>
            <w:r>
              <w:t>Liefertermin/Erfüllungs</w:t>
            </w:r>
            <w:r w:rsidR="004B1F96">
              <w:t>zeit</w:t>
            </w:r>
          </w:p>
        </w:tc>
        <w:tc>
          <w:tcPr>
            <w:tcW w:w="3261" w:type="dxa"/>
            <w:gridSpan w:val="2"/>
            <w:tcBorders>
              <w:top w:val="dotted" w:sz="4" w:space="0" w:color="auto"/>
              <w:left w:val="dotted" w:sz="4" w:space="0" w:color="auto"/>
              <w:bottom w:val="single" w:sz="4" w:space="0" w:color="auto"/>
              <w:right w:val="dotted" w:sz="4" w:space="0" w:color="auto"/>
            </w:tcBorders>
            <w:shd w:val="clear" w:color="auto" w:fill="FFFFFF" w:themeFill="background1"/>
            <w:vAlign w:val="center"/>
          </w:tcPr>
          <w:p w:rsidR="004B1F96" w:rsidRDefault="004B1F96" w:rsidP="00BF62C5">
            <w:pPr>
              <w:spacing w:after="0" w:line="240" w:lineRule="auto"/>
              <w:jc w:val="center"/>
            </w:pPr>
            <w:r>
              <w:t>Rechte Käufer/Käuferin</w:t>
            </w:r>
          </w:p>
        </w:tc>
        <w:tc>
          <w:tcPr>
            <w:tcW w:w="2126" w:type="dxa"/>
            <w:tcBorders>
              <w:top w:val="dotted" w:sz="4" w:space="0" w:color="auto"/>
              <w:left w:val="dotted" w:sz="4" w:space="0" w:color="auto"/>
              <w:bottom w:val="single" w:sz="4" w:space="0" w:color="auto"/>
            </w:tcBorders>
            <w:shd w:val="clear" w:color="auto" w:fill="FFFFFF" w:themeFill="background1"/>
            <w:vAlign w:val="center"/>
          </w:tcPr>
          <w:p w:rsidR="004B1F96" w:rsidRDefault="004B1F96" w:rsidP="00BF62C5">
            <w:pPr>
              <w:spacing w:after="0" w:line="240" w:lineRule="auto"/>
              <w:jc w:val="center"/>
            </w:pPr>
            <w:r>
              <w:t>Lieferurgenz</w:t>
            </w:r>
          </w:p>
        </w:tc>
      </w:tr>
      <w:tr w:rsidR="004B1F96" w:rsidTr="00787B81">
        <w:trPr>
          <w:trHeight w:val="969"/>
          <w:jc w:val="center"/>
        </w:trPr>
        <w:tc>
          <w:tcPr>
            <w:tcW w:w="1403" w:type="dxa"/>
            <w:tcBorders>
              <w:top w:val="dotted" w:sz="4" w:space="0" w:color="auto"/>
              <w:bottom w:val="single" w:sz="12" w:space="0" w:color="auto"/>
              <w:right w:val="dotted" w:sz="4" w:space="0" w:color="auto"/>
            </w:tcBorders>
            <w:shd w:val="clear" w:color="auto" w:fill="FFFFFF" w:themeFill="background1"/>
            <w:vAlign w:val="center"/>
          </w:tcPr>
          <w:p w:rsidR="00787B81" w:rsidRDefault="00787B81" w:rsidP="00BF62C5">
            <w:pPr>
              <w:spacing w:after="0" w:line="240" w:lineRule="auto"/>
              <w:jc w:val="center"/>
              <w:rPr>
                <w:sz w:val="22"/>
              </w:rPr>
            </w:pPr>
            <w:r w:rsidRPr="00787B81">
              <w:rPr>
                <w:sz w:val="22"/>
              </w:rPr>
              <w:t>Außer</w:t>
            </w:r>
          </w:p>
          <w:p w:rsidR="004B1F96" w:rsidRPr="00787B81" w:rsidRDefault="004B1F96" w:rsidP="00BF62C5">
            <w:pPr>
              <w:spacing w:after="0" w:line="240" w:lineRule="auto"/>
              <w:jc w:val="center"/>
              <w:rPr>
                <w:sz w:val="22"/>
              </w:rPr>
            </w:pPr>
            <w:r w:rsidRPr="00787B81">
              <w:rPr>
                <w:sz w:val="22"/>
              </w:rPr>
              <w:t>gerichtlicher Verlauf</w:t>
            </w:r>
          </w:p>
        </w:tc>
        <w:tc>
          <w:tcPr>
            <w:tcW w:w="1559" w:type="dxa"/>
            <w:gridSpan w:val="2"/>
            <w:tcBorders>
              <w:top w:val="dotted" w:sz="4" w:space="0" w:color="auto"/>
              <w:left w:val="dotted" w:sz="4" w:space="0" w:color="auto"/>
              <w:bottom w:val="single" w:sz="12" w:space="0" w:color="auto"/>
              <w:right w:val="dotted" w:sz="4" w:space="0" w:color="auto"/>
            </w:tcBorders>
            <w:shd w:val="clear" w:color="auto" w:fill="FFFFFF" w:themeFill="background1"/>
            <w:vAlign w:val="center"/>
          </w:tcPr>
          <w:p w:rsidR="004B1F96" w:rsidRPr="00787B81" w:rsidRDefault="004B1F96" w:rsidP="00BF62C5">
            <w:pPr>
              <w:spacing w:after="0" w:line="240" w:lineRule="auto"/>
              <w:jc w:val="center"/>
              <w:rPr>
                <w:sz w:val="22"/>
              </w:rPr>
            </w:pPr>
            <w:r w:rsidRPr="00787B81">
              <w:rPr>
                <w:sz w:val="22"/>
              </w:rPr>
              <w:t>Gerichtlicher Verlauf</w:t>
            </w:r>
          </w:p>
        </w:tc>
        <w:tc>
          <w:tcPr>
            <w:tcW w:w="1858" w:type="dxa"/>
            <w:tcBorders>
              <w:top w:val="dotted" w:sz="4" w:space="0" w:color="auto"/>
              <w:left w:val="dotted" w:sz="4" w:space="0" w:color="auto"/>
              <w:bottom w:val="single" w:sz="12" w:space="0" w:color="auto"/>
              <w:right w:val="dotted" w:sz="4" w:space="0" w:color="auto"/>
            </w:tcBorders>
            <w:shd w:val="clear" w:color="auto" w:fill="FFFFFF" w:themeFill="background1"/>
            <w:vAlign w:val="center"/>
          </w:tcPr>
          <w:p w:rsidR="00787B81" w:rsidRDefault="00787B81" w:rsidP="00BF62C5">
            <w:pPr>
              <w:spacing w:after="0" w:line="240" w:lineRule="auto"/>
              <w:jc w:val="center"/>
              <w:rPr>
                <w:sz w:val="22"/>
              </w:rPr>
            </w:pPr>
            <w:r>
              <w:rPr>
                <w:sz w:val="22"/>
              </w:rPr>
              <w:t>Gläubigerschutz</w:t>
            </w:r>
            <w:r w:rsidR="006751B8" w:rsidRPr="00787B81">
              <w:rPr>
                <w:sz w:val="22"/>
              </w:rPr>
              <w:t>/</w:t>
            </w:r>
          </w:p>
          <w:p w:rsidR="004B1F96" w:rsidRPr="00787B81" w:rsidRDefault="006751B8" w:rsidP="00BF62C5">
            <w:pPr>
              <w:spacing w:after="0" w:line="240" w:lineRule="auto"/>
              <w:jc w:val="center"/>
              <w:rPr>
                <w:sz w:val="22"/>
              </w:rPr>
            </w:pPr>
            <w:r w:rsidRPr="00787B81">
              <w:rPr>
                <w:sz w:val="22"/>
              </w:rPr>
              <w:t>Gläubigerinnen</w:t>
            </w:r>
            <w:r w:rsidR="004B1F96" w:rsidRPr="00787B81">
              <w:rPr>
                <w:sz w:val="22"/>
              </w:rPr>
              <w:t>schutz</w:t>
            </w:r>
          </w:p>
        </w:tc>
        <w:tc>
          <w:tcPr>
            <w:tcW w:w="1828" w:type="dxa"/>
            <w:gridSpan w:val="2"/>
            <w:tcBorders>
              <w:top w:val="dotted" w:sz="4" w:space="0" w:color="auto"/>
              <w:left w:val="dotted" w:sz="4" w:space="0" w:color="auto"/>
              <w:bottom w:val="single" w:sz="12" w:space="0" w:color="auto"/>
              <w:right w:val="dotted" w:sz="4" w:space="0" w:color="auto"/>
            </w:tcBorders>
            <w:shd w:val="clear" w:color="auto" w:fill="FFFFFF" w:themeFill="background1"/>
            <w:vAlign w:val="center"/>
          </w:tcPr>
          <w:p w:rsidR="00787B81" w:rsidRDefault="00787B81" w:rsidP="00BF62C5">
            <w:pPr>
              <w:spacing w:after="0" w:line="240" w:lineRule="auto"/>
              <w:jc w:val="center"/>
              <w:rPr>
                <w:sz w:val="22"/>
              </w:rPr>
            </w:pPr>
            <w:r>
              <w:rPr>
                <w:sz w:val="22"/>
              </w:rPr>
              <w:t>Schuldnerberatung</w:t>
            </w:r>
            <w:r w:rsidRPr="00787B81">
              <w:rPr>
                <w:sz w:val="22"/>
              </w:rPr>
              <w:t>/</w:t>
            </w:r>
          </w:p>
          <w:p w:rsidR="004B1F96" w:rsidRPr="00787B81" w:rsidRDefault="006751B8" w:rsidP="00BF62C5">
            <w:pPr>
              <w:spacing w:after="0" w:line="240" w:lineRule="auto"/>
              <w:jc w:val="center"/>
              <w:rPr>
                <w:sz w:val="22"/>
              </w:rPr>
            </w:pPr>
            <w:r w:rsidRPr="00787B81">
              <w:rPr>
                <w:sz w:val="22"/>
              </w:rPr>
              <w:t>Schuldnerinnen</w:t>
            </w:r>
            <w:r w:rsidR="004B1F96" w:rsidRPr="00787B81">
              <w:rPr>
                <w:sz w:val="22"/>
              </w:rPr>
              <w:t>beratung</w:t>
            </w:r>
          </w:p>
        </w:tc>
        <w:tc>
          <w:tcPr>
            <w:tcW w:w="1263" w:type="dxa"/>
            <w:tcBorders>
              <w:top w:val="dotted" w:sz="4" w:space="0" w:color="auto"/>
              <w:left w:val="dotted" w:sz="4" w:space="0" w:color="auto"/>
              <w:bottom w:val="single" w:sz="12" w:space="0" w:color="auto"/>
              <w:right w:val="single" w:sz="12" w:space="0" w:color="auto"/>
            </w:tcBorders>
            <w:shd w:val="clear" w:color="auto" w:fill="FFFFFF" w:themeFill="background1"/>
            <w:vAlign w:val="center"/>
          </w:tcPr>
          <w:p w:rsidR="004B1F96" w:rsidRPr="00787B81" w:rsidRDefault="004B1F96" w:rsidP="00BF62C5">
            <w:pPr>
              <w:spacing w:after="0" w:line="240" w:lineRule="auto"/>
              <w:jc w:val="center"/>
              <w:rPr>
                <w:sz w:val="22"/>
              </w:rPr>
            </w:pPr>
            <w:r w:rsidRPr="00787B81">
              <w:rPr>
                <w:sz w:val="22"/>
              </w:rPr>
              <w:t>Insolvenz</w:t>
            </w:r>
          </w:p>
        </w:tc>
        <w:tc>
          <w:tcPr>
            <w:tcW w:w="8234" w:type="dxa"/>
            <w:gridSpan w:val="4"/>
            <w:tcBorders>
              <w:top w:val="single" w:sz="4" w:space="0" w:color="auto"/>
              <w:left w:val="single" w:sz="12" w:space="0" w:color="auto"/>
              <w:bottom w:val="dotted" w:sz="4" w:space="0" w:color="auto"/>
            </w:tcBorders>
            <w:shd w:val="clear" w:color="auto" w:fill="BFBFBF" w:themeFill="background1" w:themeFillShade="BF"/>
            <w:vAlign w:val="center"/>
          </w:tcPr>
          <w:p w:rsidR="004B1F96" w:rsidRPr="006616CE" w:rsidRDefault="004B1F96" w:rsidP="005B59C1">
            <w:pPr>
              <w:pStyle w:val="Listenabsatz"/>
              <w:numPr>
                <w:ilvl w:val="0"/>
                <w:numId w:val="20"/>
              </w:numPr>
              <w:spacing w:after="0" w:line="240" w:lineRule="auto"/>
              <w:rPr>
                <w:b/>
              </w:rPr>
            </w:pPr>
            <w:r w:rsidRPr="006616CE">
              <w:rPr>
                <w:b/>
                <w:sz w:val="28"/>
              </w:rPr>
              <w:t>Mangelhafte Ware</w:t>
            </w:r>
          </w:p>
        </w:tc>
      </w:tr>
      <w:tr w:rsidR="004B1F96" w:rsidTr="00787B81">
        <w:trPr>
          <w:trHeight w:val="496"/>
          <w:jc w:val="center"/>
        </w:trPr>
        <w:tc>
          <w:tcPr>
            <w:tcW w:w="1403" w:type="dxa"/>
            <w:tcBorders>
              <w:top w:val="single" w:sz="12" w:space="0" w:color="auto"/>
              <w:left w:val="nil"/>
              <w:bottom w:val="nil"/>
              <w:right w:val="nil"/>
            </w:tcBorders>
            <w:vAlign w:val="center"/>
          </w:tcPr>
          <w:p w:rsidR="004B1F96" w:rsidRDefault="004B1F96" w:rsidP="00BF62C5">
            <w:pPr>
              <w:spacing w:after="0" w:line="240" w:lineRule="auto"/>
              <w:jc w:val="center"/>
            </w:pPr>
          </w:p>
        </w:tc>
        <w:tc>
          <w:tcPr>
            <w:tcW w:w="1559" w:type="dxa"/>
            <w:gridSpan w:val="2"/>
            <w:tcBorders>
              <w:top w:val="single" w:sz="12" w:space="0" w:color="auto"/>
              <w:left w:val="nil"/>
              <w:bottom w:val="nil"/>
              <w:right w:val="nil"/>
            </w:tcBorders>
            <w:vAlign w:val="center"/>
          </w:tcPr>
          <w:p w:rsidR="004B1F96" w:rsidRDefault="004B1F96" w:rsidP="00BF62C5">
            <w:pPr>
              <w:spacing w:after="0" w:line="240" w:lineRule="auto"/>
              <w:jc w:val="center"/>
            </w:pPr>
          </w:p>
        </w:tc>
        <w:tc>
          <w:tcPr>
            <w:tcW w:w="1858" w:type="dxa"/>
            <w:tcBorders>
              <w:top w:val="single" w:sz="12" w:space="0" w:color="auto"/>
              <w:left w:val="nil"/>
              <w:bottom w:val="nil"/>
              <w:right w:val="nil"/>
            </w:tcBorders>
            <w:vAlign w:val="center"/>
          </w:tcPr>
          <w:p w:rsidR="004B1F96" w:rsidRDefault="004B1F96" w:rsidP="00BF62C5">
            <w:pPr>
              <w:spacing w:after="0" w:line="240" w:lineRule="auto"/>
              <w:jc w:val="center"/>
            </w:pPr>
          </w:p>
        </w:tc>
        <w:tc>
          <w:tcPr>
            <w:tcW w:w="1828" w:type="dxa"/>
            <w:gridSpan w:val="2"/>
            <w:tcBorders>
              <w:top w:val="single" w:sz="12" w:space="0" w:color="auto"/>
              <w:left w:val="nil"/>
              <w:bottom w:val="nil"/>
              <w:right w:val="nil"/>
            </w:tcBorders>
            <w:vAlign w:val="center"/>
          </w:tcPr>
          <w:p w:rsidR="004B1F96" w:rsidRDefault="004B1F96" w:rsidP="00BF62C5">
            <w:pPr>
              <w:spacing w:after="0" w:line="240" w:lineRule="auto"/>
              <w:jc w:val="center"/>
            </w:pPr>
          </w:p>
        </w:tc>
        <w:tc>
          <w:tcPr>
            <w:tcW w:w="1263" w:type="dxa"/>
            <w:tcBorders>
              <w:top w:val="single" w:sz="12" w:space="0" w:color="auto"/>
              <w:left w:val="nil"/>
              <w:bottom w:val="nil"/>
              <w:right w:val="single" w:sz="12" w:space="0" w:color="auto"/>
            </w:tcBorders>
            <w:vAlign w:val="center"/>
          </w:tcPr>
          <w:p w:rsidR="004B1F96" w:rsidRDefault="004B1F96" w:rsidP="00BF62C5">
            <w:pPr>
              <w:spacing w:after="0" w:line="240" w:lineRule="auto"/>
              <w:jc w:val="center"/>
            </w:pPr>
          </w:p>
        </w:tc>
        <w:tc>
          <w:tcPr>
            <w:tcW w:w="8234" w:type="dxa"/>
            <w:gridSpan w:val="4"/>
            <w:tcBorders>
              <w:top w:val="dotted" w:sz="4" w:space="0" w:color="auto"/>
              <w:left w:val="single" w:sz="12" w:space="0" w:color="auto"/>
              <w:bottom w:val="dotted" w:sz="4" w:space="0" w:color="auto"/>
            </w:tcBorders>
            <w:shd w:val="clear" w:color="auto" w:fill="D9D9D9" w:themeFill="background1" w:themeFillShade="D9"/>
            <w:vAlign w:val="center"/>
          </w:tcPr>
          <w:p w:rsidR="004B1F96" w:rsidRPr="00FC5D05" w:rsidRDefault="004B1F96" w:rsidP="00BF62C5">
            <w:pPr>
              <w:spacing w:after="0" w:line="240" w:lineRule="auto"/>
              <w:jc w:val="center"/>
              <w:rPr>
                <w:b/>
              </w:rPr>
            </w:pPr>
            <w:r w:rsidRPr="00FC5D05">
              <w:rPr>
                <w:b/>
              </w:rPr>
              <w:t>Arten der Mängel</w:t>
            </w:r>
          </w:p>
        </w:tc>
      </w:tr>
      <w:tr w:rsidR="004B1F96" w:rsidTr="00787B81">
        <w:trPr>
          <w:trHeight w:val="567"/>
          <w:jc w:val="center"/>
        </w:trPr>
        <w:tc>
          <w:tcPr>
            <w:tcW w:w="7911" w:type="dxa"/>
            <w:gridSpan w:val="7"/>
            <w:tcBorders>
              <w:top w:val="nil"/>
              <w:left w:val="nil"/>
              <w:bottom w:val="nil"/>
              <w:right w:val="single" w:sz="12" w:space="0" w:color="auto"/>
            </w:tcBorders>
            <w:vAlign w:val="center"/>
          </w:tcPr>
          <w:p w:rsidR="004B1F96" w:rsidRDefault="004B1F96" w:rsidP="00BF62C5">
            <w:pPr>
              <w:spacing w:after="0" w:line="240" w:lineRule="auto"/>
            </w:pPr>
          </w:p>
        </w:tc>
        <w:tc>
          <w:tcPr>
            <w:tcW w:w="2847" w:type="dxa"/>
            <w:tcBorders>
              <w:top w:val="dotted" w:sz="4" w:space="0" w:color="auto"/>
              <w:left w:val="single" w:sz="12" w:space="0" w:color="auto"/>
              <w:bottom w:val="dotted" w:sz="4" w:space="0" w:color="auto"/>
              <w:right w:val="dotted" w:sz="4" w:space="0" w:color="auto"/>
            </w:tcBorders>
            <w:vAlign w:val="center"/>
          </w:tcPr>
          <w:p w:rsidR="00787B81" w:rsidRDefault="004B1F96" w:rsidP="00BF62C5">
            <w:pPr>
              <w:spacing w:after="0" w:line="240" w:lineRule="auto"/>
              <w:jc w:val="center"/>
            </w:pPr>
            <w:r>
              <w:t xml:space="preserve">Beurteilung nach der </w:t>
            </w:r>
          </w:p>
          <w:p w:rsidR="004B1F96" w:rsidRDefault="004B1F96" w:rsidP="00BF62C5">
            <w:pPr>
              <w:spacing w:after="0" w:line="240" w:lineRule="auto"/>
              <w:jc w:val="center"/>
            </w:pPr>
            <w:r>
              <w:t>Erkennbarkeit</w:t>
            </w:r>
          </w:p>
        </w:tc>
        <w:tc>
          <w:tcPr>
            <w:tcW w:w="3261" w:type="dxa"/>
            <w:gridSpan w:val="2"/>
            <w:tcBorders>
              <w:top w:val="dotted" w:sz="4" w:space="0" w:color="auto"/>
              <w:left w:val="dotted" w:sz="4" w:space="0" w:color="auto"/>
              <w:bottom w:val="dotted" w:sz="4" w:space="0" w:color="auto"/>
              <w:right w:val="dotted" w:sz="4" w:space="0" w:color="auto"/>
            </w:tcBorders>
            <w:vAlign w:val="center"/>
          </w:tcPr>
          <w:p w:rsidR="00787B81" w:rsidRDefault="004B1F96" w:rsidP="00BF62C5">
            <w:pPr>
              <w:spacing w:after="0" w:line="240" w:lineRule="auto"/>
              <w:jc w:val="center"/>
            </w:pPr>
            <w:r>
              <w:t xml:space="preserve">Beurteilung nach der </w:t>
            </w:r>
          </w:p>
          <w:p w:rsidR="004B1F96" w:rsidRDefault="004B1F96" w:rsidP="00BF62C5">
            <w:pPr>
              <w:spacing w:after="0" w:line="240" w:lineRule="auto"/>
              <w:jc w:val="center"/>
            </w:pPr>
            <w:r>
              <w:t>Bedeutung</w:t>
            </w:r>
          </w:p>
        </w:tc>
        <w:tc>
          <w:tcPr>
            <w:tcW w:w="2126" w:type="dxa"/>
            <w:tcBorders>
              <w:top w:val="dotted" w:sz="4" w:space="0" w:color="auto"/>
              <w:left w:val="dotted" w:sz="4" w:space="0" w:color="auto"/>
              <w:bottom w:val="dotted" w:sz="4" w:space="0" w:color="auto"/>
            </w:tcBorders>
            <w:vAlign w:val="center"/>
          </w:tcPr>
          <w:p w:rsidR="004B1F96" w:rsidRDefault="004B1F96" w:rsidP="00BF62C5">
            <w:pPr>
              <w:spacing w:after="0" w:line="240" w:lineRule="auto"/>
              <w:jc w:val="center"/>
            </w:pPr>
            <w:r>
              <w:t>Beurteilung nach der Behebbarkeit</w:t>
            </w:r>
          </w:p>
        </w:tc>
      </w:tr>
      <w:tr w:rsidR="004B1F96" w:rsidTr="00787B81">
        <w:trPr>
          <w:trHeight w:val="404"/>
          <w:jc w:val="center"/>
        </w:trPr>
        <w:tc>
          <w:tcPr>
            <w:tcW w:w="7911" w:type="dxa"/>
            <w:gridSpan w:val="7"/>
            <w:tcBorders>
              <w:top w:val="nil"/>
              <w:left w:val="nil"/>
              <w:bottom w:val="nil"/>
              <w:right w:val="single" w:sz="12" w:space="0" w:color="auto"/>
            </w:tcBorders>
            <w:vAlign w:val="center"/>
          </w:tcPr>
          <w:p w:rsidR="004B1F96" w:rsidRDefault="004B1F96" w:rsidP="00BF62C5">
            <w:pPr>
              <w:spacing w:after="0" w:line="240" w:lineRule="auto"/>
            </w:pPr>
          </w:p>
        </w:tc>
        <w:tc>
          <w:tcPr>
            <w:tcW w:w="8234" w:type="dxa"/>
            <w:gridSpan w:val="4"/>
            <w:tcBorders>
              <w:top w:val="dotted" w:sz="4" w:space="0" w:color="auto"/>
              <w:left w:val="single" w:sz="12" w:space="0" w:color="auto"/>
              <w:bottom w:val="dotted" w:sz="4" w:space="0" w:color="auto"/>
            </w:tcBorders>
            <w:shd w:val="clear" w:color="auto" w:fill="D9D9D9" w:themeFill="background1" w:themeFillShade="D9"/>
            <w:vAlign w:val="center"/>
          </w:tcPr>
          <w:p w:rsidR="004B1F96" w:rsidRPr="00FC5D05" w:rsidRDefault="004B1F96" w:rsidP="00BF62C5">
            <w:pPr>
              <w:spacing w:after="0" w:line="240" w:lineRule="auto"/>
              <w:jc w:val="center"/>
              <w:rPr>
                <w:b/>
              </w:rPr>
            </w:pPr>
            <w:r>
              <w:rPr>
                <w:b/>
              </w:rPr>
              <w:t>Ansprüche</w:t>
            </w:r>
          </w:p>
        </w:tc>
      </w:tr>
      <w:tr w:rsidR="004B1F96" w:rsidTr="00787B81">
        <w:trPr>
          <w:trHeight w:val="567"/>
          <w:jc w:val="center"/>
        </w:trPr>
        <w:tc>
          <w:tcPr>
            <w:tcW w:w="7911" w:type="dxa"/>
            <w:gridSpan w:val="7"/>
            <w:tcBorders>
              <w:top w:val="nil"/>
              <w:left w:val="nil"/>
              <w:bottom w:val="nil"/>
              <w:right w:val="single" w:sz="12" w:space="0" w:color="auto"/>
            </w:tcBorders>
            <w:vAlign w:val="center"/>
          </w:tcPr>
          <w:p w:rsidR="004B1F96" w:rsidRDefault="004B1F96" w:rsidP="00BF62C5">
            <w:pPr>
              <w:spacing w:after="0" w:line="240" w:lineRule="auto"/>
            </w:pPr>
          </w:p>
        </w:tc>
        <w:tc>
          <w:tcPr>
            <w:tcW w:w="2847" w:type="dxa"/>
            <w:tcBorders>
              <w:top w:val="dotted" w:sz="4" w:space="0" w:color="auto"/>
              <w:left w:val="single" w:sz="12" w:space="0" w:color="auto"/>
              <w:bottom w:val="dotted" w:sz="4" w:space="0" w:color="auto"/>
              <w:right w:val="dotted" w:sz="4" w:space="0" w:color="auto"/>
            </w:tcBorders>
            <w:vAlign w:val="center"/>
          </w:tcPr>
          <w:p w:rsidR="004B1F96" w:rsidRDefault="004B1F96" w:rsidP="00BF62C5">
            <w:pPr>
              <w:spacing w:after="0" w:line="240" w:lineRule="auto"/>
              <w:jc w:val="center"/>
            </w:pPr>
            <w:r>
              <w:t>Besserung</w:t>
            </w:r>
          </w:p>
        </w:tc>
        <w:tc>
          <w:tcPr>
            <w:tcW w:w="3261" w:type="dxa"/>
            <w:gridSpan w:val="2"/>
            <w:tcBorders>
              <w:top w:val="dotted" w:sz="4" w:space="0" w:color="auto"/>
              <w:left w:val="dotted" w:sz="4" w:space="0" w:color="auto"/>
              <w:bottom w:val="dotted" w:sz="4" w:space="0" w:color="auto"/>
              <w:right w:val="dotted" w:sz="4" w:space="0" w:color="auto"/>
            </w:tcBorders>
            <w:vAlign w:val="center"/>
          </w:tcPr>
          <w:p w:rsidR="004B1F96" w:rsidRDefault="004B1F96" w:rsidP="00BF62C5">
            <w:pPr>
              <w:spacing w:after="0" w:line="240" w:lineRule="auto"/>
              <w:jc w:val="center"/>
            </w:pPr>
            <w:r>
              <w:t>Minderung</w:t>
            </w:r>
          </w:p>
        </w:tc>
        <w:tc>
          <w:tcPr>
            <w:tcW w:w="2126" w:type="dxa"/>
            <w:tcBorders>
              <w:top w:val="dotted" w:sz="4" w:space="0" w:color="auto"/>
              <w:left w:val="dotted" w:sz="4" w:space="0" w:color="auto"/>
              <w:bottom w:val="dotted" w:sz="4" w:space="0" w:color="auto"/>
            </w:tcBorders>
            <w:vAlign w:val="center"/>
          </w:tcPr>
          <w:p w:rsidR="004B1F96" w:rsidRDefault="004B1F96" w:rsidP="00BF62C5">
            <w:pPr>
              <w:spacing w:after="0" w:line="240" w:lineRule="auto"/>
              <w:jc w:val="center"/>
            </w:pPr>
            <w:r>
              <w:t>Wandlung</w:t>
            </w:r>
          </w:p>
        </w:tc>
      </w:tr>
      <w:tr w:rsidR="004B1F96" w:rsidTr="00787B81">
        <w:trPr>
          <w:trHeight w:val="545"/>
          <w:jc w:val="center"/>
        </w:trPr>
        <w:tc>
          <w:tcPr>
            <w:tcW w:w="7911" w:type="dxa"/>
            <w:gridSpan w:val="7"/>
            <w:tcBorders>
              <w:top w:val="nil"/>
              <w:left w:val="nil"/>
              <w:bottom w:val="nil"/>
              <w:right w:val="single" w:sz="12" w:space="0" w:color="auto"/>
            </w:tcBorders>
            <w:vAlign w:val="center"/>
          </w:tcPr>
          <w:p w:rsidR="004B1F96" w:rsidRDefault="004B1F96" w:rsidP="00BF62C5">
            <w:pPr>
              <w:spacing w:after="0" w:line="240" w:lineRule="auto"/>
            </w:pPr>
            <w:r w:rsidRPr="00801D31">
              <w:rPr>
                <w:b/>
                <w:sz w:val="20"/>
                <w:u w:val="single"/>
              </w:rPr>
              <w:t>Quellen:</w:t>
            </w:r>
            <w:r w:rsidRPr="008C36E2">
              <w:rPr>
                <w:sz w:val="20"/>
              </w:rPr>
              <w:t xml:space="preserve"> Unterstützend habe ich für die Erstellung dieser Sachstruktur das Schulbuch „Das Büro 1“</w:t>
            </w:r>
            <w:r>
              <w:rPr>
                <w:sz w:val="20"/>
              </w:rPr>
              <w:t xml:space="preserve"> sowie die</w:t>
            </w:r>
            <w:r w:rsidRPr="008C36E2">
              <w:rPr>
                <w:sz w:val="20"/>
              </w:rPr>
              <w:t xml:space="preserve"> Lehrstoffverteilung für die </w:t>
            </w:r>
            <w:r>
              <w:rPr>
                <w:sz w:val="20"/>
              </w:rPr>
              <w:br/>
            </w:r>
            <w:r w:rsidRPr="008C36E2">
              <w:rPr>
                <w:sz w:val="20"/>
              </w:rPr>
              <w:t xml:space="preserve">1. Klasse Büro „Wirtschaftskunde“ der TFBS für Handel und Büro </w:t>
            </w:r>
            <w:r w:rsidR="00787B81">
              <w:rPr>
                <w:sz w:val="20"/>
              </w:rPr>
              <w:t xml:space="preserve">IBK </w:t>
            </w:r>
            <w:r w:rsidRPr="008C36E2">
              <w:rPr>
                <w:sz w:val="20"/>
              </w:rPr>
              <w:t>herangezogen</w:t>
            </w:r>
          </w:p>
        </w:tc>
        <w:tc>
          <w:tcPr>
            <w:tcW w:w="8234" w:type="dxa"/>
            <w:gridSpan w:val="4"/>
            <w:tcBorders>
              <w:top w:val="dotted" w:sz="4" w:space="0" w:color="auto"/>
              <w:left w:val="single" w:sz="12" w:space="0" w:color="auto"/>
              <w:bottom w:val="dotted" w:sz="4" w:space="0" w:color="auto"/>
            </w:tcBorders>
            <w:shd w:val="clear" w:color="auto" w:fill="D9D9D9" w:themeFill="background1" w:themeFillShade="D9"/>
            <w:vAlign w:val="center"/>
          </w:tcPr>
          <w:p w:rsidR="004B1F96" w:rsidRPr="003708C7" w:rsidRDefault="004B1F96" w:rsidP="00BF62C5">
            <w:pPr>
              <w:spacing w:after="0" w:line="240" w:lineRule="auto"/>
              <w:jc w:val="center"/>
              <w:rPr>
                <w:b/>
              </w:rPr>
            </w:pPr>
            <w:r w:rsidRPr="003708C7">
              <w:rPr>
                <w:b/>
              </w:rPr>
              <w:t>Gewährleistung/Garantie/Kulanz</w:t>
            </w:r>
          </w:p>
        </w:tc>
      </w:tr>
      <w:tr w:rsidR="004B1F96" w:rsidTr="00787B81">
        <w:trPr>
          <w:trHeight w:val="567"/>
          <w:jc w:val="center"/>
        </w:trPr>
        <w:tc>
          <w:tcPr>
            <w:tcW w:w="7911" w:type="dxa"/>
            <w:gridSpan w:val="7"/>
            <w:tcBorders>
              <w:top w:val="nil"/>
              <w:left w:val="nil"/>
              <w:bottom w:val="nil"/>
              <w:right w:val="single" w:sz="12" w:space="0" w:color="auto"/>
            </w:tcBorders>
            <w:vAlign w:val="center"/>
          </w:tcPr>
          <w:p w:rsidR="004B1F96" w:rsidRDefault="004B1F96" w:rsidP="00BF62C5">
            <w:pPr>
              <w:spacing w:after="0" w:line="240" w:lineRule="auto"/>
            </w:pPr>
          </w:p>
        </w:tc>
        <w:tc>
          <w:tcPr>
            <w:tcW w:w="8234" w:type="dxa"/>
            <w:gridSpan w:val="4"/>
            <w:tcBorders>
              <w:top w:val="dotted" w:sz="4" w:space="0" w:color="auto"/>
              <w:left w:val="single" w:sz="12" w:space="0" w:color="auto"/>
              <w:bottom w:val="single" w:sz="12" w:space="0" w:color="auto"/>
            </w:tcBorders>
            <w:shd w:val="clear" w:color="auto" w:fill="D9D9D9" w:themeFill="background1" w:themeFillShade="D9"/>
            <w:vAlign w:val="center"/>
          </w:tcPr>
          <w:p w:rsidR="004B1F96" w:rsidRPr="00FC5D05" w:rsidRDefault="004B1F96" w:rsidP="00BF62C5">
            <w:pPr>
              <w:keepNext/>
              <w:spacing w:after="0" w:line="240" w:lineRule="auto"/>
              <w:jc w:val="center"/>
              <w:rPr>
                <w:b/>
              </w:rPr>
            </w:pPr>
            <w:r>
              <w:rPr>
                <w:b/>
              </w:rPr>
              <w:t>Schadenersatz/</w:t>
            </w:r>
            <w:r w:rsidRPr="003708C7">
              <w:rPr>
                <w:b/>
              </w:rPr>
              <w:t>Produkthaftung</w:t>
            </w:r>
          </w:p>
        </w:tc>
      </w:tr>
    </w:tbl>
    <w:p w:rsidR="003E5827" w:rsidRPr="004B1F96" w:rsidRDefault="003E5827" w:rsidP="004B1F96">
      <w:pPr>
        <w:tabs>
          <w:tab w:val="center" w:pos="4536"/>
        </w:tabs>
        <w:sectPr w:rsidR="003E5827" w:rsidRPr="004B1F96" w:rsidSect="00AA6071">
          <w:pgSz w:w="16838" w:h="11906" w:orient="landscape"/>
          <w:pgMar w:top="1417" w:right="1417" w:bottom="1417" w:left="1134" w:header="567" w:footer="708" w:gutter="0"/>
          <w:pgNumType w:start="1"/>
          <w:cols w:space="708"/>
          <w:docGrid w:linePitch="360"/>
        </w:sectPr>
      </w:pPr>
    </w:p>
    <w:p w:rsidR="005B59C1" w:rsidRDefault="005B59C1" w:rsidP="00831590">
      <w:pPr>
        <w:spacing w:after="360"/>
        <w:rPr>
          <w:rFonts w:cs="Arial"/>
          <w:szCs w:val="24"/>
        </w:rPr>
      </w:pPr>
      <w:r>
        <w:rPr>
          <w:rFonts w:cs="Arial"/>
          <w:szCs w:val="24"/>
        </w:rPr>
        <w:lastRenderedPageBreak/>
        <w:t xml:space="preserve">Die von mir entworfene Sachstruktur verdeutlicht die Komplexität dieses Themenbereiches. </w:t>
      </w:r>
      <w:r w:rsidR="00B5258E">
        <w:rPr>
          <w:rFonts w:cs="Arial"/>
          <w:szCs w:val="24"/>
        </w:rPr>
        <w:t>Bei der Abwicklung von Kaufverträgen kommt es in der Praxis immer wieder zu Unregelmäßigkeiten – beide Seiten, sowohl die Käufer</w:t>
      </w:r>
      <w:r w:rsidR="006751B8">
        <w:rPr>
          <w:rFonts w:cs="Arial"/>
          <w:szCs w:val="24"/>
        </w:rPr>
        <w:t>/die Käuferinnen</w:t>
      </w:r>
      <w:r w:rsidR="00B5258E">
        <w:rPr>
          <w:rFonts w:cs="Arial"/>
          <w:szCs w:val="24"/>
        </w:rPr>
        <w:t>- als auch die Verkäufer</w:t>
      </w:r>
      <w:r w:rsidR="006751B8">
        <w:rPr>
          <w:rFonts w:cs="Arial"/>
          <w:szCs w:val="24"/>
        </w:rPr>
        <w:t>-/Verkäuferinnen</w:t>
      </w:r>
      <w:r w:rsidR="00B5258E">
        <w:rPr>
          <w:rFonts w:cs="Arial"/>
          <w:szCs w:val="24"/>
        </w:rPr>
        <w:t>seite, können davon betroffen sein. Die beiden Themenbereiche „Gewährleistung und Garantie“ werden der Kategorie „Unregelmäßigkeiten durch den Verkäufer“ zugeordnet und gewinnen dann an Bedeutung, wen</w:t>
      </w:r>
      <w:r w:rsidR="006751B8">
        <w:rPr>
          <w:rFonts w:cs="Arial"/>
          <w:szCs w:val="24"/>
        </w:rPr>
        <w:t>n der Kunde/ die Kundin ein mangelhaftes Produkt oder eine mangelhafte Leistung reklamiert. Die Art des Mangels entscheidet über die weitere Vorgehensweise und den jeweiligen Anspruch. Das anschließende Kapitel setzt sich mit den wesentlichen Aspekten von Gewährleistung und Garantie auseinander</w:t>
      </w:r>
      <w:r w:rsidR="00656295">
        <w:rPr>
          <w:rFonts w:cs="Arial"/>
          <w:szCs w:val="24"/>
        </w:rPr>
        <w:t>, definiert</w:t>
      </w:r>
      <w:r w:rsidR="006751B8">
        <w:rPr>
          <w:rFonts w:cs="Arial"/>
          <w:szCs w:val="24"/>
        </w:rPr>
        <w:t xml:space="preserve"> und ver</w:t>
      </w:r>
      <w:r w:rsidR="00656295">
        <w:rPr>
          <w:rFonts w:cs="Arial"/>
          <w:szCs w:val="24"/>
        </w:rPr>
        <w:t>tieft die beiden Themenbereiche.</w:t>
      </w:r>
    </w:p>
    <w:p w:rsidR="006470E5" w:rsidRPr="005B59C1" w:rsidRDefault="006470E5" w:rsidP="005B59C1">
      <w:pPr>
        <w:pStyle w:val="Listenabsatz"/>
        <w:numPr>
          <w:ilvl w:val="0"/>
          <w:numId w:val="31"/>
        </w:numPr>
        <w:ind w:left="340" w:hanging="340"/>
        <w:rPr>
          <w:rFonts w:cs="Arial"/>
          <w:b/>
          <w:szCs w:val="24"/>
        </w:rPr>
      </w:pPr>
      <w:r w:rsidRPr="005B59C1">
        <w:rPr>
          <w:rFonts w:cs="Arial"/>
          <w:b/>
          <w:szCs w:val="24"/>
        </w:rPr>
        <w:t>Fachkompetente Beschreibung:</w:t>
      </w:r>
    </w:p>
    <w:p w:rsidR="006470E5" w:rsidRDefault="00656295" w:rsidP="006470E5">
      <w:pPr>
        <w:rPr>
          <w:rFonts w:cs="Arial"/>
          <w:szCs w:val="24"/>
        </w:rPr>
      </w:pPr>
      <w:r>
        <w:rPr>
          <w:rFonts w:cs="Arial"/>
          <w:szCs w:val="24"/>
        </w:rPr>
        <w:t xml:space="preserve">Bei genauer Betrachtung der Sachstruktur geht hervor, dass die Voraussetzung für das Geltend machen von Gewährleistungsansprüchen ein bestehender Mangel ist. Die Art des </w:t>
      </w:r>
      <w:r w:rsidR="00805CF6">
        <w:rPr>
          <w:rFonts w:cs="Arial"/>
          <w:szCs w:val="24"/>
        </w:rPr>
        <w:t>M</w:t>
      </w:r>
      <w:r>
        <w:rPr>
          <w:rFonts w:cs="Arial"/>
          <w:szCs w:val="24"/>
        </w:rPr>
        <w:t>angels entscheidet über</w:t>
      </w:r>
      <w:r w:rsidR="00805CF6">
        <w:rPr>
          <w:rFonts w:cs="Arial"/>
          <w:szCs w:val="24"/>
        </w:rPr>
        <w:t xml:space="preserve"> den jeweiligen Anspruch (Besserung, Minderung, Wandlung), wobei Konsumenten und Konsumentinnen grundsätzlich nur zwischen Austausch und Reparatur (Besserung) eines mangelhaften Produktes wählen können. Preisminderung oder Wandlung kann nur unter bestimmten Umständen gefordert werden, wenn z. B. Reparatur oder Austausch gar nicht möglich sind (</w:t>
      </w:r>
      <w:r w:rsidR="00F51698">
        <w:rPr>
          <w:rFonts w:cs="Arial"/>
          <w:szCs w:val="24"/>
        </w:rPr>
        <w:t>Arbeiterkammer, 2016</w:t>
      </w:r>
      <w:r w:rsidR="00805CF6">
        <w:rPr>
          <w:rFonts w:cs="Arial"/>
          <w:szCs w:val="24"/>
        </w:rPr>
        <w:t>). Während diese Bestimmungen gesetzlich verankert und geregelt sind, handelt es sich bei der Garantie um eine freiwillige Leistung</w:t>
      </w:r>
      <w:r w:rsidR="00A5517D">
        <w:rPr>
          <w:rFonts w:cs="Arial"/>
          <w:szCs w:val="24"/>
        </w:rPr>
        <w:t>. Nachdem sich Gewährleistung und Garantie grundlegend voneinander unterscheiden werden die beiden Themenbereiche im Folgenden getrennt voneinander behandelt.</w:t>
      </w:r>
    </w:p>
    <w:p w:rsidR="00A5517D" w:rsidRDefault="00A5517D" w:rsidP="006470E5">
      <w:pPr>
        <w:rPr>
          <w:rFonts w:cs="Arial"/>
          <w:b/>
          <w:szCs w:val="24"/>
        </w:rPr>
      </w:pPr>
      <w:r w:rsidRPr="00A5517D">
        <w:rPr>
          <w:rFonts w:cs="Arial"/>
          <w:b/>
          <w:szCs w:val="24"/>
        </w:rPr>
        <w:t>Gewährleistung:</w:t>
      </w:r>
    </w:p>
    <w:p w:rsidR="00A5517D" w:rsidRDefault="00A5517D" w:rsidP="00A5517D">
      <w:r>
        <w:t>Wie bereits erwähnt handelt es sich bei der Gewährleistung um einen gesetzlichen verankerten Anspruch, der seitens des Verkäufers/der Verkäuferin gegenüber Konsumenten/Konsumentinnen nur in Ausnahmefällen vertraglich eingeschränkt werden kann. Zwischen Privatpersonen hingegen kann die Gewährleistung bei Vertragsabschluss ausgeschlossen werden (</w:t>
      </w:r>
      <w:proofErr w:type="spellStart"/>
      <w:r>
        <w:t>Kolba</w:t>
      </w:r>
      <w:proofErr w:type="spellEnd"/>
      <w:r>
        <w:t>, Resetarits</w:t>
      </w:r>
      <w:r w:rsidR="00774726">
        <w:t>,</w:t>
      </w:r>
      <w:r>
        <w:t xml:space="preserve"> &amp; Weiser, 2011). Die gesetzliche Grundlage dafür ist im </w:t>
      </w:r>
      <w:r w:rsidRPr="00A53DAB">
        <w:t>ABGB § 922 Abs. 1,</w:t>
      </w:r>
      <w:r>
        <w:t xml:space="preserve"> verankert und lautet: </w:t>
      </w:r>
    </w:p>
    <w:p w:rsidR="00A5517D" w:rsidRDefault="00A5517D" w:rsidP="00A5517D">
      <w:pPr>
        <w:shd w:val="clear" w:color="auto" w:fill="D9D9D9" w:themeFill="background1" w:themeFillShade="D9"/>
      </w:pPr>
      <w:r>
        <w:lastRenderedPageBreak/>
        <w:t xml:space="preserve">„Wer einem anderen eine Sache gegen Entgelt überlässt, leistet Gewähr, dass sie dem Vertrag entspricht. Er haftet also dafür, dass die Sache die bedungenen oder gewöhnlich vorausgesetzten Eigenschaften hat, dass sie seiner Beschreibung, einer Probe oder einem Muster entspricht und dass sie der Natur des Geschäftes oder der getroffenen Verabredung gemäß verwendet werden kann“ </w:t>
      </w:r>
      <w:r w:rsidR="007F6AB4" w:rsidRPr="00CA26B7">
        <w:t>(</w:t>
      </w:r>
      <w:r w:rsidR="007F6AB4">
        <w:t>jusline.at</w:t>
      </w:r>
      <w:r w:rsidR="007F6AB4" w:rsidRPr="00CA26B7">
        <w:t xml:space="preserve">, </w:t>
      </w:r>
      <w:r w:rsidR="007F6AB4">
        <w:t>2016</w:t>
      </w:r>
      <w:r w:rsidR="007F6AB4" w:rsidRPr="00CA26B7">
        <w:t>)</w:t>
      </w:r>
      <w:r w:rsidR="007F6AB4">
        <w:t>.</w:t>
      </w:r>
    </w:p>
    <w:p w:rsidR="00A5517D" w:rsidRDefault="00A5517D" w:rsidP="00A5517D">
      <w:r w:rsidRPr="00211D76">
        <w:t>Im § 9 Abs. 1 des KSchG</w:t>
      </w:r>
      <w:r>
        <w:t>, ist das Gewährleistungsrecht folgendermaßen definiert:</w:t>
      </w:r>
    </w:p>
    <w:p w:rsidR="00A5517D" w:rsidRDefault="00A5517D" w:rsidP="00A5517D">
      <w:pPr>
        <w:shd w:val="clear" w:color="auto" w:fill="D9D9D9" w:themeFill="background1" w:themeFillShade="D9"/>
      </w:pPr>
      <w:r>
        <w:t xml:space="preserve">„Gewährleistungsrechte des Verbrauchers (§ 922 bis 933 ABGB) können vor Kenntnis des Mangels nicht ausgeschlossen oder eingeschränkt werden. Die Vereinbarung einer kürzeren als der gesetzlichen Gewährleistungspflicht ist unwirksam, doch kann bei der Veräußerung gebrauchter, beweglicher Sachen die Gewährleistungsfrist auf ein Jahr verkürzt werden, sofern dies im Einzelnen ausgehandelt wird […]“ </w:t>
      </w:r>
      <w:r w:rsidR="007F6AB4" w:rsidRPr="00CA26B7">
        <w:t>(</w:t>
      </w:r>
      <w:r w:rsidR="007F6AB4">
        <w:t>jusline.at</w:t>
      </w:r>
      <w:r w:rsidR="007F6AB4" w:rsidRPr="00CA26B7">
        <w:t xml:space="preserve">, </w:t>
      </w:r>
      <w:r w:rsidR="007F6AB4">
        <w:t>2016</w:t>
      </w:r>
      <w:r w:rsidR="007F6AB4" w:rsidRPr="00CA26B7">
        <w:t>)</w:t>
      </w:r>
      <w:r w:rsidR="007F6AB4">
        <w:t>.</w:t>
      </w:r>
    </w:p>
    <w:p w:rsidR="00A5517D" w:rsidRDefault="00A5517D" w:rsidP="00A5517D">
      <w:r>
        <w:t>Besteht also ein Mangel an einem Produkt oder handelt es sich um eine mangelhafte Leistung kann dies über die Gewährleistung geltend gemacht werden. Der/die Verkäufer/in haftet allerdings nicht unbegrenzt, es gibt Fristen innerhalb derer die Ansprüche geltend gemacht werden müssen:</w:t>
      </w:r>
    </w:p>
    <w:p w:rsidR="00A5517D" w:rsidRDefault="00A5517D" w:rsidP="00A5517D">
      <w:pPr>
        <w:pStyle w:val="Listenabsatz"/>
        <w:numPr>
          <w:ilvl w:val="0"/>
          <w:numId w:val="40"/>
        </w:numPr>
        <w:jc w:val="both"/>
      </w:pPr>
      <w:r>
        <w:t>Zwei Jahre ab Übergabe bei beweglichen Gütern</w:t>
      </w:r>
    </w:p>
    <w:p w:rsidR="00A5517D" w:rsidRDefault="00A5517D" w:rsidP="00A5517D">
      <w:pPr>
        <w:pStyle w:val="Listenabsatz"/>
        <w:numPr>
          <w:ilvl w:val="0"/>
          <w:numId w:val="40"/>
        </w:numPr>
        <w:jc w:val="both"/>
      </w:pPr>
      <w:r>
        <w:t>Drei Jahre ab Übergabe bei unbeweglichen Gütern</w:t>
      </w:r>
    </w:p>
    <w:p w:rsidR="00DE57CA" w:rsidRDefault="00DE57CA" w:rsidP="00A5517D">
      <w:pPr>
        <w:pStyle w:val="Listenabsatz"/>
        <w:numPr>
          <w:ilvl w:val="0"/>
          <w:numId w:val="40"/>
        </w:numPr>
        <w:jc w:val="both"/>
      </w:pPr>
      <w:r>
        <w:t>Ein Jahr bei gebrauchten, beweglichen Gütern</w:t>
      </w:r>
    </w:p>
    <w:p w:rsidR="00831590" w:rsidRDefault="00A5517D" w:rsidP="00A5517D">
      <w:r>
        <w:t xml:space="preserve">Bei beweglichen Gütern handelt es sich um Sachen, die ohne „Beschädigung“ von einem Ort zum anderen gebracht werden können (z. B. Fahrzeug, Radio, Fernseher, Tisch, Stuhl, …). Unbewegliche Güter </w:t>
      </w:r>
      <w:r w:rsidR="00375959">
        <w:t>sind</w:t>
      </w:r>
      <w:r>
        <w:t xml:space="preserve"> z. B. Grundstücke, eingebaute Möbel, alle Gegenstände, die mit de</w:t>
      </w:r>
      <w:r w:rsidR="00375959">
        <w:t>m Gebäude direkt verbunden sind</w:t>
      </w:r>
      <w:r>
        <w:t>. Innerhalb der oben erwähnten Frist muss der Mangel gerügt werden, ansonsten verjährt das Recht auf Gewährleistung (</w:t>
      </w:r>
      <w:proofErr w:type="spellStart"/>
      <w:r>
        <w:t>Kolba</w:t>
      </w:r>
      <w:proofErr w:type="spellEnd"/>
      <w:r>
        <w:t>, Resetarits</w:t>
      </w:r>
      <w:r w:rsidR="00774726">
        <w:t>,</w:t>
      </w:r>
      <w:r>
        <w:t xml:space="preserve"> &amp; Weiser, 2011). </w:t>
      </w:r>
    </w:p>
    <w:p w:rsidR="00DE57CA" w:rsidRDefault="00DE57CA" w:rsidP="00A5517D">
      <w:r>
        <w:t>Die vertragliche Einschränkung der Gewährleistung bei gebrauchten, beweglichen Gütern auf ein Jahr muss allerdings zwischen Käufer und Verkäufer ausdrücklich festgelegt werden, ein bloßer Vermerk in den AGB ist unzulänglich (A</w:t>
      </w:r>
      <w:r w:rsidR="007F6AB4">
        <w:t>rbeiterkammer, 2016</w:t>
      </w:r>
      <w:r>
        <w:t>)</w:t>
      </w:r>
      <w:r w:rsidR="007F6AB4">
        <w:t>.</w:t>
      </w:r>
    </w:p>
    <w:p w:rsidR="00A5517D" w:rsidRDefault="00A5517D" w:rsidP="00DE57CA">
      <w:r>
        <w:lastRenderedPageBreak/>
        <w:t>Bei der Geltendmachung von Gewährleistungsansprüchen gibt es neben dem zeitlichen Aspekt noch zwei weitere wichtige Kriterien: die Verschuldensuna</w:t>
      </w:r>
      <w:r w:rsidR="00DE57CA">
        <w:t xml:space="preserve">bhängigkeit und die Beweislast. </w:t>
      </w:r>
    </w:p>
    <w:p w:rsidR="00A5517D" w:rsidRDefault="00A5517D" w:rsidP="00A5517D">
      <w:r>
        <w:t>Verschuldensunabhängig bedeutet also, dass es keine Rolle spielt, ob der/die Verkäufer/in den Mangel, welcher bereits zum Zeitpunkt der Übergabe vorhanden war, verursacht hat oder nicht – der Konsument/die Konsumentin hat gesetzlichen Anspruch darauf und der/die Verkäufer/in hat dafür einzustehen. Bei der Geltendmachung von Ansprüchen ist letztlich auch entscheidend, innerhalb welcher Frist der Mangel auftritt. Innerhalb der ersten sechs Monate wird davon ausgegangen, dass der Mangel bereits zum Zeitpunkt der Übergabe vorhanden war und erst zu einem spät</w:t>
      </w:r>
      <w:r w:rsidR="004306E4">
        <w:t>eren Zeitpunkt aufgetreten ist.</w:t>
      </w:r>
    </w:p>
    <w:p w:rsidR="004306E4" w:rsidRDefault="00A5517D" w:rsidP="00A5517D">
      <w:r>
        <w:t>Die Beweislast, also in diesem Fall der Beweis, dass der Mangel erst nach der Übergabe aufgetreten ist, liegt in diesem Zeitraum beim Verkäufer/bei der Verkäuferin. Je länger sich</w:t>
      </w:r>
      <w:r w:rsidR="0049358E">
        <w:t xml:space="preserve"> jedoch eine Ware im Besitz des</w:t>
      </w:r>
      <w:r>
        <w:t xml:space="preserve"> Käufers/</w:t>
      </w:r>
      <w:r w:rsidR="0049358E">
        <w:t xml:space="preserve">der </w:t>
      </w:r>
      <w:r>
        <w:t>Käuferin befindet, desto wahrscheinlicher ist es auch, dass der Mangel erst nach Übergabe entstanden ist. In diesem Fall spricht man dann von Beweislastumkehr, d. h. der/die Käufer/in müsste dann beweisen, dass der Mangel bereits zum Zeitpunkt der Übergabe vorhanden war. Diese Beweislastumkehr findet nach sechs Monaten statt und kann mitunter, je nach Fall, dazu führen, dass die Ansprüche nicht mehr im Rahmen der Gewährleistung geltend gemacht werden können (auch wenn die gesetzliche Gewährleistungsfrist in Summ</w:t>
      </w:r>
      <w:r w:rsidR="007F6AB4">
        <w:t>e zwei bzw. drei Jahre beträgt)</w:t>
      </w:r>
      <w:r>
        <w:t xml:space="preserve"> </w:t>
      </w:r>
      <w:r w:rsidR="004306E4" w:rsidRPr="00211D76">
        <w:t>(</w:t>
      </w:r>
      <w:r w:rsidR="007F6AB4">
        <w:t>Wirtschaftskammer</w:t>
      </w:r>
      <w:r w:rsidR="004306E4" w:rsidRPr="00211D76">
        <w:t xml:space="preserve">, </w:t>
      </w:r>
      <w:r w:rsidR="004306E4">
        <w:t>201</w:t>
      </w:r>
      <w:r w:rsidR="007F6AB4">
        <w:t>6</w:t>
      </w:r>
      <w:r w:rsidR="004306E4" w:rsidRPr="00211D76">
        <w:t>)</w:t>
      </w:r>
      <w:r w:rsidR="004306E4">
        <w:t>.</w:t>
      </w:r>
    </w:p>
    <w:p w:rsidR="004306E4" w:rsidRDefault="004306E4" w:rsidP="004306E4">
      <w:pPr>
        <w:shd w:val="clear" w:color="auto" w:fill="D9D9D9" w:themeFill="background1" w:themeFillShade="D9"/>
      </w:pPr>
      <w:r>
        <w:t xml:space="preserve">Beispiel: Frau </w:t>
      </w:r>
      <w:proofErr w:type="spellStart"/>
      <w:r>
        <w:t>Tollinger</w:t>
      </w:r>
      <w:proofErr w:type="spellEnd"/>
      <w:r>
        <w:t xml:space="preserve"> kauft sich einen neuen PC. Sofort nach Inbetriebnahme beginnt der Bildschirm zu flimmern. </w:t>
      </w:r>
    </w:p>
    <w:p w:rsidR="00831590" w:rsidRDefault="004306E4" w:rsidP="00A5517D">
      <w:r>
        <w:t xml:space="preserve">In diesem Fall kann davon ausgegangen werden, dass der Mangel bereits zum Zeitpunkt der Übergabe vorhanden war. Wäre der Mangel nach neun Monaten aufgetreten, ist aufgrund der Beweislastumkehr fraglich, ob es noch im </w:t>
      </w:r>
      <w:r w:rsidR="0049358E">
        <w:t>Z</w:t>
      </w:r>
      <w:r>
        <w:t>uge der Gewährl</w:t>
      </w:r>
      <w:r w:rsidR="0049358E">
        <w:t>eist</w:t>
      </w:r>
      <w:r>
        <w:t xml:space="preserve">ung geltend gemacht werden kann. </w:t>
      </w:r>
    </w:p>
    <w:p w:rsidR="004306E4" w:rsidRDefault="004306E4" w:rsidP="00A5517D">
      <w:r>
        <w:t>Schließlich war das Gerät bereits neun Monat in Betrieb, die Wahrscheinlichkeit, dass der Mangel schon zu Beginn vorhanden war, ist eher gering.</w:t>
      </w:r>
    </w:p>
    <w:p w:rsidR="004306E4" w:rsidRPr="00831590" w:rsidRDefault="00830EB3" w:rsidP="006470E5">
      <w:r>
        <w:lastRenderedPageBreak/>
        <w:t>Die Regelung der Beweislast gilt allerdings nicht, wenn das mangelhafte Produkt Abnützungserscheinungen aufweist (z. B. getragene Kleidung) oder sich nicht mit der Art der Ware (z. B. verderbliche Lebensmittel) vereinbaren lässt.</w:t>
      </w:r>
      <w:r w:rsidR="00A5517D">
        <w:t xml:space="preserve"> Dieser Aspekt ist die exakte Überleitung zum Thema Garantie, denn genau in diesem Punkt der Beweislast liegt einer d</w:t>
      </w:r>
      <w:r w:rsidR="004306E4">
        <w:t>er grundsätzlichen U</w:t>
      </w:r>
      <w:r w:rsidR="007F6AB4">
        <w:t>nterschiede</w:t>
      </w:r>
      <w:r w:rsidR="004306E4">
        <w:t xml:space="preserve"> </w:t>
      </w:r>
      <w:r w:rsidR="004306E4" w:rsidRPr="00211D76">
        <w:t>(</w:t>
      </w:r>
      <w:r w:rsidR="007F6AB4">
        <w:t>Arbeiterkammer</w:t>
      </w:r>
      <w:r w:rsidR="00774726">
        <w:t>, 2016</w:t>
      </w:r>
      <w:r w:rsidR="004306E4">
        <w:t>)</w:t>
      </w:r>
      <w:r w:rsidR="007F6AB4">
        <w:t>.</w:t>
      </w:r>
    </w:p>
    <w:p w:rsidR="00A5517D" w:rsidRDefault="00A5517D" w:rsidP="006470E5">
      <w:pPr>
        <w:rPr>
          <w:rFonts w:cs="Arial"/>
          <w:b/>
          <w:szCs w:val="24"/>
        </w:rPr>
      </w:pPr>
      <w:r w:rsidRPr="00A5517D">
        <w:rPr>
          <w:rFonts w:cs="Arial"/>
          <w:b/>
          <w:szCs w:val="24"/>
        </w:rPr>
        <w:t>Garantie:</w:t>
      </w:r>
    </w:p>
    <w:p w:rsidR="00595591" w:rsidRDefault="00A5517D" w:rsidP="00A5517D">
      <w:r>
        <w:t>Im Gegensatz zur Gewährleistung handelt es sich bei der Garantie zum einen um eine vertragliche Regelung, d. h. der Anspruch auf Garantie ist nicht gesetzlich verankert, sondern muss vor Vertragsabschluss vereinbart werden. Zum anderen, und darin ist ein gewisser Vorteil zu seh</w:t>
      </w:r>
      <w:r w:rsidR="00774726">
        <w:t>en, gibt es keine Beweislast, d</w:t>
      </w:r>
      <w:r>
        <w:t>.h. es spielt keine Rolle, ob der Mangel bereits zum Zeitpunkt der Übergabe vorhanden war oder erst zu einem späteren Zeitpunkt aufgetreten ist. Die Dauer der Garantie kann individuell vereinbart werden – sämtliche Mängel, die innerhalb dieser Frist entstehen und durch die vertragliche Garantiezusage abgedeckt werden, können über die Garantie geltend gemacht werden. Während die Gewährleistungsansprüche eigentlich immer über den/die Verkäufer/in abgewickelt werden, wird die Garantie zumeist vom Hersteller in Form einer Garantieurkunde mit den jeweiligen Bedingungen gewährleistet (</w:t>
      </w:r>
      <w:proofErr w:type="spellStart"/>
      <w:r>
        <w:t>Kolba</w:t>
      </w:r>
      <w:proofErr w:type="spellEnd"/>
      <w:r>
        <w:t>, Resetarits</w:t>
      </w:r>
      <w:r w:rsidR="00774726">
        <w:t>,</w:t>
      </w:r>
      <w:r>
        <w:t xml:space="preserve"> &amp; Weiser, 2011). </w:t>
      </w:r>
    </w:p>
    <w:p w:rsidR="00595591" w:rsidRDefault="00BB5EF3" w:rsidP="00A5517D">
      <w:r>
        <w:t xml:space="preserve">Nachdem es sich bei der Garantie um eine freiwillige Leistung handelt, kann der Hersteller oder Händler den Leistungsumfang individuell festlegen. Dies hat häufig zur Folge, dass etwaige Ersatzteile oder auch Fahrtkosten selbst getragen werden müssen und nur die Reparatur an sich unter die Garantiebedingungen fallen. </w:t>
      </w:r>
    </w:p>
    <w:p w:rsidR="00A5517D" w:rsidRDefault="00A5517D" w:rsidP="00A5517D">
      <w:r>
        <w:t>Zur Verdeutlichung der Unterschiede von Gewährleistung und Garantie möchte ich abschließend noch folgendes Beispiel erläutern:</w:t>
      </w:r>
    </w:p>
    <w:p w:rsidR="00A5517D" w:rsidRDefault="00A5517D" w:rsidP="00A5517D">
      <w:pPr>
        <w:shd w:val="clear" w:color="auto" w:fill="D9D9D9" w:themeFill="background1" w:themeFillShade="D9"/>
      </w:pPr>
      <w:r>
        <w:t>Beispiel: Frau Müller kauft sich ein neues Bügeleisen der Marke „</w:t>
      </w:r>
      <w:proofErr w:type="spellStart"/>
      <w:r>
        <w:t>Rowenta</w:t>
      </w:r>
      <w:proofErr w:type="spellEnd"/>
      <w:r>
        <w:t>“. Zu Hause entdeckt sie in der Verpackung eine Garantieurkunde des Herstellers mit einer Laufzeit von 3 Jahren auf alle Teile des Gerätes.</w:t>
      </w:r>
    </w:p>
    <w:p w:rsidR="00375959" w:rsidRDefault="00A5517D" w:rsidP="00A5517D">
      <w:pPr>
        <w:shd w:val="clear" w:color="auto" w:fill="FFFFFF" w:themeFill="background1"/>
      </w:pPr>
      <w:r>
        <w:t xml:space="preserve">Im Zuge der gesetzlichen Gewährleistungspflicht kann Frau Müller alle Ansprüche innerhalb der ersten zwei Jahre geltend machen, da es sich um eine bewegliche Sache handelt. </w:t>
      </w:r>
    </w:p>
    <w:p w:rsidR="00A5517D" w:rsidRDefault="00A5517D" w:rsidP="00A5517D">
      <w:pPr>
        <w:shd w:val="clear" w:color="auto" w:fill="FFFFFF" w:themeFill="background1"/>
      </w:pPr>
      <w:r>
        <w:lastRenderedPageBreak/>
        <w:t>Allerdings ist zu bedenken, dass nach einem halben Jahr die Beweislast umkehrt und Frau Müller bei Auftreten eines Mangels die Beweislast trägt. Dies könnte etwas schwierig werden, da es sich ja auch um typische Abnützungserscheinungen handelt. Im Zuge der Garantie kann Frau Müller alle auftretenden Mängel innerhalb von drei Jahren geltend machen, ohne dass sie der Beweislast unterliegt. In diesem Fall erstreckt sich die Garantie auf alle Teile des Gerätes. Nachdem es sich bei der Garantieleistung um eine freiwillige Leistung handelt, könnte der Hersteller die Garantie auch einschränken, d. h. nur auf bestimmte Teile des Gerätes eine Garantie geben – was mitunter ein Nachteil der Garantieleistung sein kann.</w:t>
      </w:r>
    </w:p>
    <w:p w:rsidR="00A5517D" w:rsidRDefault="00A5517D" w:rsidP="00A5517D">
      <w:pPr>
        <w:shd w:val="clear" w:color="auto" w:fill="FFFFFF" w:themeFill="background1"/>
      </w:pPr>
      <w:r>
        <w:t>Zusammengefasst macht eine Garantieleistung auf jeden Fall dann Sinn, wenn die gesetzliche Gewährleistungsfrist bereits abgelaufen ist. In einem ersten Schritt, vor allem innerhalb der ersten sechs Monate, sollte man Ansprüche immer über die Gewährleistung, also beim Händler/ bei der Händlerin, geltend machen. Nach Ablauf dieser Frist kommt man dann in den Genuss der Garantie, die üblicherweise über den Hersteller abgewickelt wird – vorausgesetzt die vertragliche Vereinbarung sieht eine Garantie vor! (</w:t>
      </w:r>
      <w:proofErr w:type="spellStart"/>
      <w:r>
        <w:t>Kolba</w:t>
      </w:r>
      <w:proofErr w:type="spellEnd"/>
      <w:r>
        <w:t>, Resetarits</w:t>
      </w:r>
      <w:r w:rsidR="00774726">
        <w:t>,</w:t>
      </w:r>
      <w:r>
        <w:t xml:space="preserve"> &amp; Weiser, 2011).</w:t>
      </w:r>
    </w:p>
    <w:p w:rsidR="00A5517D" w:rsidRDefault="00A5517D" w:rsidP="00A5517D">
      <w:pPr>
        <w:shd w:val="clear" w:color="auto" w:fill="FFFFFF" w:themeFill="background1"/>
      </w:pPr>
      <w:r>
        <w:t>Eine gewährte Garantie kann keinesfalls die gesetzli</w:t>
      </w:r>
      <w:r w:rsidR="0049358E">
        <w:t>che Gewährleistung einschränken</w:t>
      </w:r>
      <w:r w:rsidR="00595591">
        <w:t xml:space="preserve">, wie folgender </w:t>
      </w:r>
      <w:r>
        <w:t xml:space="preserve">Gesetzestext aus dem </w:t>
      </w:r>
      <w:r w:rsidRPr="00CA26B7">
        <w:t>KSchG § 9 b Abs. 1</w:t>
      </w:r>
      <w:r>
        <w:t>, verdeutlich</w:t>
      </w:r>
      <w:r w:rsidR="00595591">
        <w:t>t</w:t>
      </w:r>
      <w:r>
        <w:t>:</w:t>
      </w:r>
    </w:p>
    <w:p w:rsidR="00A5517D" w:rsidRPr="00CA26B7" w:rsidRDefault="00A5517D" w:rsidP="00F51698">
      <w:pPr>
        <w:shd w:val="clear" w:color="auto" w:fill="D9D9D9" w:themeFill="background1" w:themeFillShade="D9"/>
      </w:pPr>
      <w:r>
        <w:t xml:space="preserve">„Verpflichtet sich ein Unternehmer gegenüber einem Verbraucher, für den Fall der Mangelhaftigkeit der Sache diese zu verbessern, auszutauschen, den Kaufpreis zu erstatten oder sonst Abhilfe zu verschaffen (Garantie), so hat er auch auf die gesetzliche Gewährleistungspflicht des Übergebers und darauf hinzuweisen, dass sie durch die Garantie nicht eingeschränkt wird […]“ </w:t>
      </w:r>
      <w:r w:rsidRPr="00CA26B7">
        <w:t>(</w:t>
      </w:r>
      <w:r>
        <w:t>jusline.at</w:t>
      </w:r>
      <w:r w:rsidRPr="00CA26B7">
        <w:t xml:space="preserve">, </w:t>
      </w:r>
      <w:r>
        <w:t>201</w:t>
      </w:r>
      <w:r w:rsidR="00774726">
        <w:t>6</w:t>
      </w:r>
      <w:r w:rsidRPr="00CA26B7">
        <w:t>)</w:t>
      </w:r>
      <w:r>
        <w:t>.</w:t>
      </w:r>
    </w:p>
    <w:p w:rsidR="00A5517D" w:rsidRPr="00A5517D" w:rsidRDefault="00A5517D" w:rsidP="00A5517D">
      <w:pPr>
        <w:rPr>
          <w:rFonts w:cs="Arial"/>
          <w:szCs w:val="24"/>
        </w:rPr>
      </w:pPr>
    </w:p>
    <w:p w:rsidR="00023531" w:rsidRDefault="00023531">
      <w:pPr>
        <w:spacing w:after="200" w:line="276" w:lineRule="auto"/>
        <w:rPr>
          <w:rFonts w:eastAsiaTheme="minorHAnsi" w:cs="Arial"/>
          <w:b/>
          <w:szCs w:val="24"/>
          <w:lang w:val="de-AT"/>
        </w:rPr>
      </w:pPr>
      <w:r>
        <w:rPr>
          <w:rFonts w:cs="Arial"/>
          <w:b/>
          <w:szCs w:val="24"/>
        </w:rPr>
        <w:br w:type="page"/>
      </w:r>
    </w:p>
    <w:p w:rsidR="003E5827" w:rsidRPr="005D2D4E" w:rsidRDefault="003E5827" w:rsidP="005D2D4E">
      <w:pPr>
        <w:pStyle w:val="Listenabsatz"/>
        <w:numPr>
          <w:ilvl w:val="0"/>
          <w:numId w:val="31"/>
        </w:numPr>
        <w:ind w:left="340" w:hanging="340"/>
        <w:rPr>
          <w:rFonts w:cs="Arial"/>
          <w:b/>
          <w:szCs w:val="24"/>
        </w:rPr>
      </w:pPr>
      <w:r w:rsidRPr="005D2D4E">
        <w:rPr>
          <w:rFonts w:cs="Arial"/>
          <w:b/>
          <w:szCs w:val="24"/>
        </w:rPr>
        <w:lastRenderedPageBreak/>
        <w:t>Auf welche Eingangsvorrausetzungen muss geachtet werden bzw. benötigen die Schülerinnen und Schüler ein Vorwissen für diese Lehrübung?</w:t>
      </w:r>
    </w:p>
    <w:p w:rsidR="006470E5" w:rsidRPr="00D15563" w:rsidRDefault="00023531" w:rsidP="00831590">
      <w:pPr>
        <w:spacing w:after="360"/>
        <w:rPr>
          <w:rFonts w:cs="Arial"/>
          <w:szCs w:val="24"/>
        </w:rPr>
      </w:pPr>
      <w:r>
        <w:rPr>
          <w:rFonts w:cs="Arial"/>
          <w:szCs w:val="24"/>
        </w:rPr>
        <w:t>Nachdem es sich bei diesem Thema um Unregelmäßigkeiten des Kaufvertrages handelt</w:t>
      </w:r>
      <w:r w:rsidR="00E10B8D">
        <w:rPr>
          <w:rFonts w:cs="Arial"/>
          <w:szCs w:val="24"/>
        </w:rPr>
        <w:t xml:space="preserve"> sollte schon ein gewisses Grundverständnis vorhanden sein. Die </w:t>
      </w:r>
      <w:proofErr w:type="spellStart"/>
      <w:r w:rsidR="00E10B8D">
        <w:rPr>
          <w:rFonts w:cs="Arial"/>
          <w:szCs w:val="24"/>
        </w:rPr>
        <w:t>SuS</w:t>
      </w:r>
      <w:proofErr w:type="spellEnd"/>
      <w:r w:rsidR="00E10B8D">
        <w:rPr>
          <w:rFonts w:cs="Arial"/>
          <w:szCs w:val="24"/>
        </w:rPr>
        <w:t xml:space="preserve"> benötigen kein detailliertes Vorwissen, es genügt, wenn sie sich mit dem Begriff der Unregelmäßigkeiten auseinandergesetzt und eine Vorstellung davon erhalten haben. Von Vorteil ist sicher, wenn si</w:t>
      </w:r>
      <w:r w:rsidR="00D15563">
        <w:rPr>
          <w:rFonts w:cs="Arial"/>
          <w:szCs w:val="24"/>
        </w:rPr>
        <w:t xml:space="preserve">e im Vorfeld schon unterschiedliche Mangelarten kennengelernt haben, da es den Einstieg in das Thema erleichtert. Das Thema der Gewährleistung und Garantie baut im Grunde genommen darauf auf, ohne einen bestehenden Mangel kann auch kein Anspruch im Zuge der Gewährleistung oder Garantie geltend gemacht werden. </w:t>
      </w:r>
    </w:p>
    <w:p w:rsidR="006470E5" w:rsidRPr="005B59C1" w:rsidRDefault="006470E5" w:rsidP="005B59C1">
      <w:pPr>
        <w:pStyle w:val="Listenabsatz"/>
        <w:numPr>
          <w:ilvl w:val="0"/>
          <w:numId w:val="31"/>
        </w:numPr>
        <w:ind w:left="340" w:hanging="340"/>
        <w:rPr>
          <w:rFonts w:cs="Arial"/>
          <w:b/>
          <w:szCs w:val="24"/>
        </w:rPr>
      </w:pPr>
      <w:r w:rsidRPr="005B59C1">
        <w:rPr>
          <w:rFonts w:cs="Arial"/>
          <w:b/>
          <w:szCs w:val="24"/>
        </w:rPr>
        <w:t>Didaktische Analyse:</w:t>
      </w:r>
    </w:p>
    <w:p w:rsidR="00831590" w:rsidRDefault="00A269B8" w:rsidP="00172944">
      <w:pPr>
        <w:spacing w:after="360"/>
        <w:rPr>
          <w:rFonts w:cs="Arial"/>
          <w:szCs w:val="24"/>
        </w:rPr>
      </w:pPr>
      <w:r>
        <w:rPr>
          <w:rFonts w:cs="Arial"/>
          <w:szCs w:val="24"/>
        </w:rPr>
        <w:t xml:space="preserve">Der zu vermittelnde Inhalt (Gewährleistung und Garantie) ist von </w:t>
      </w:r>
      <w:r w:rsidRPr="00B9539F">
        <w:rPr>
          <w:rFonts w:cs="Arial"/>
          <w:b/>
          <w:szCs w:val="24"/>
        </w:rPr>
        <w:t>grundlegender Bedeutung</w:t>
      </w:r>
      <w:r>
        <w:rPr>
          <w:rFonts w:cs="Arial"/>
          <w:szCs w:val="24"/>
        </w:rPr>
        <w:t xml:space="preserve">, da die </w:t>
      </w:r>
      <w:proofErr w:type="spellStart"/>
      <w:r>
        <w:rPr>
          <w:rFonts w:cs="Arial"/>
          <w:szCs w:val="24"/>
        </w:rPr>
        <w:t>SuS</w:t>
      </w:r>
      <w:proofErr w:type="spellEnd"/>
      <w:r>
        <w:rPr>
          <w:rFonts w:cs="Arial"/>
          <w:szCs w:val="24"/>
        </w:rPr>
        <w:t xml:space="preserve"> im täglichen Leben unmittelbar damit konfrontiert sind. Einerseits in privater Hinsicht, wenn sie selbst als Konsumenten</w:t>
      </w:r>
      <w:r w:rsidR="00377E9D">
        <w:rPr>
          <w:rFonts w:cs="Arial"/>
          <w:szCs w:val="24"/>
        </w:rPr>
        <w:t>/Konsumentinnen</w:t>
      </w:r>
      <w:r>
        <w:rPr>
          <w:rFonts w:cs="Arial"/>
          <w:szCs w:val="24"/>
        </w:rPr>
        <w:t xml:space="preserve"> auftreten und andererseits in beruflicher Hinsicht, wenn sie Problemfälle professionell abwickeln müssen. </w:t>
      </w:r>
      <w:r w:rsidR="00377E9D">
        <w:rPr>
          <w:rFonts w:cs="Arial"/>
          <w:szCs w:val="24"/>
        </w:rPr>
        <w:t xml:space="preserve">Die </w:t>
      </w:r>
      <w:proofErr w:type="spellStart"/>
      <w:r w:rsidR="00377E9D">
        <w:rPr>
          <w:rFonts w:cs="Arial"/>
          <w:szCs w:val="24"/>
        </w:rPr>
        <w:t>SuS</w:t>
      </w:r>
      <w:proofErr w:type="spellEnd"/>
      <w:r w:rsidR="00377E9D">
        <w:rPr>
          <w:rFonts w:cs="Arial"/>
          <w:szCs w:val="24"/>
        </w:rPr>
        <w:t xml:space="preserve"> müssen die Rechte und Pflichten auf beiden Seiten (Verkäufer/Verkäuferin, Käufer/Käuferin) beherrschen, um im jeweiligen Fall angemessen reagieren zu können, zudem gibt es ein Gefühl der Sicherheit, wenn die </w:t>
      </w:r>
      <w:proofErr w:type="spellStart"/>
      <w:r w:rsidR="00377E9D">
        <w:rPr>
          <w:rFonts w:cs="Arial"/>
          <w:szCs w:val="24"/>
        </w:rPr>
        <w:t>SuS</w:t>
      </w:r>
      <w:proofErr w:type="spellEnd"/>
      <w:r w:rsidR="00377E9D">
        <w:rPr>
          <w:rFonts w:cs="Arial"/>
          <w:szCs w:val="24"/>
        </w:rPr>
        <w:t xml:space="preserve"> selbst als Konsumenten/Konsumentinnen auftreten. </w:t>
      </w:r>
      <w:r w:rsidR="00F6204A">
        <w:rPr>
          <w:rFonts w:cs="Arial"/>
          <w:szCs w:val="24"/>
        </w:rPr>
        <w:br/>
      </w:r>
      <w:r w:rsidR="00377E9D">
        <w:rPr>
          <w:rFonts w:cs="Arial"/>
          <w:szCs w:val="24"/>
        </w:rPr>
        <w:t xml:space="preserve">Nachdem der </w:t>
      </w:r>
      <w:r w:rsidR="00377E9D" w:rsidRPr="00B9539F">
        <w:rPr>
          <w:rFonts w:cs="Arial"/>
          <w:b/>
          <w:szCs w:val="24"/>
        </w:rPr>
        <w:t>Praxisbezug zum alltäglichen Leben</w:t>
      </w:r>
      <w:r w:rsidR="00377E9D">
        <w:rPr>
          <w:rFonts w:cs="Arial"/>
          <w:szCs w:val="24"/>
        </w:rPr>
        <w:t xml:space="preserve"> unmittelbar gegeben ist, hat der zu vermittelnde Inhalt eine große </w:t>
      </w:r>
      <w:r w:rsidR="00377E9D" w:rsidRPr="00B9539F">
        <w:rPr>
          <w:rFonts w:cs="Arial"/>
          <w:b/>
          <w:szCs w:val="24"/>
        </w:rPr>
        <w:t xml:space="preserve">Bedeutung für das </w:t>
      </w:r>
      <w:r w:rsidR="00B9539F" w:rsidRPr="00B9539F">
        <w:rPr>
          <w:rFonts w:cs="Arial"/>
          <w:b/>
          <w:szCs w:val="24"/>
        </w:rPr>
        <w:t xml:space="preserve">gegenwärtige und </w:t>
      </w:r>
      <w:r w:rsidR="00377E9D" w:rsidRPr="00B9539F">
        <w:rPr>
          <w:rFonts w:cs="Arial"/>
          <w:b/>
          <w:szCs w:val="24"/>
        </w:rPr>
        <w:t>zukünftige Leben</w:t>
      </w:r>
      <w:r w:rsidR="00377E9D">
        <w:rPr>
          <w:rFonts w:cs="Arial"/>
          <w:szCs w:val="24"/>
        </w:rPr>
        <w:t xml:space="preserve"> der </w:t>
      </w:r>
      <w:proofErr w:type="spellStart"/>
      <w:r w:rsidR="00377E9D">
        <w:rPr>
          <w:rFonts w:cs="Arial"/>
          <w:szCs w:val="24"/>
        </w:rPr>
        <w:t>SuS</w:t>
      </w:r>
      <w:proofErr w:type="spellEnd"/>
      <w:r w:rsidR="00377E9D">
        <w:rPr>
          <w:rFonts w:cs="Arial"/>
          <w:szCs w:val="24"/>
        </w:rPr>
        <w:t xml:space="preserve"> – die </w:t>
      </w:r>
      <w:proofErr w:type="spellStart"/>
      <w:r w:rsidR="00377E9D">
        <w:rPr>
          <w:rFonts w:cs="Arial"/>
          <w:szCs w:val="24"/>
        </w:rPr>
        <w:t>SuS</w:t>
      </w:r>
      <w:proofErr w:type="spellEnd"/>
      <w:r w:rsidR="00377E9D">
        <w:rPr>
          <w:rFonts w:cs="Arial"/>
          <w:szCs w:val="24"/>
        </w:rPr>
        <w:t xml:space="preserve"> lernen in diesem Fall für das persönliche Leben, es entsteht ein „</w:t>
      </w:r>
      <w:proofErr w:type="spellStart"/>
      <w:r w:rsidR="0049358E">
        <w:rPr>
          <w:rFonts w:cs="Arial"/>
          <w:szCs w:val="24"/>
        </w:rPr>
        <w:t>B</w:t>
      </w:r>
      <w:r w:rsidR="00377E9D">
        <w:rPr>
          <w:rFonts w:cs="Arial"/>
          <w:szCs w:val="24"/>
        </w:rPr>
        <w:t>enefit</w:t>
      </w:r>
      <w:proofErr w:type="spellEnd"/>
      <w:r w:rsidR="00377E9D">
        <w:rPr>
          <w:rFonts w:cs="Arial"/>
          <w:szCs w:val="24"/>
        </w:rPr>
        <w:t>“, über den schulischen Kontext hinaus.</w:t>
      </w:r>
      <w:r w:rsidR="00F6204A">
        <w:rPr>
          <w:rFonts w:cs="Arial"/>
          <w:szCs w:val="24"/>
        </w:rPr>
        <w:br/>
      </w:r>
      <w:r w:rsidR="00831590" w:rsidRPr="00B9539F">
        <w:rPr>
          <w:rFonts w:cs="Arial"/>
          <w:b/>
          <w:szCs w:val="24"/>
        </w:rPr>
        <w:t>Die Strukturierung des Lerninhaltes</w:t>
      </w:r>
      <w:r w:rsidR="00831590">
        <w:rPr>
          <w:rFonts w:cs="Arial"/>
          <w:szCs w:val="24"/>
        </w:rPr>
        <w:t xml:space="preserve"> ist für das Erfassen des Themas in seiner Gesamtheit </w:t>
      </w:r>
      <w:r w:rsidR="00F6204A">
        <w:rPr>
          <w:rFonts w:cs="Arial"/>
          <w:szCs w:val="24"/>
        </w:rPr>
        <w:t xml:space="preserve">sehr wichtig. Für ein grundlegendes Verständnis müssen im Vorfeld sogenannte „Basics“ erarbeitet werden. Die Besprechung des unregelmäßigen Verlaufes eines Kaufvertrages, sowie die Auseinandersetzung mit unterschiedlichen Mängel sind Voraussetzung für das Einordnen und Verstehen anderer Teilbereiche. </w:t>
      </w:r>
    </w:p>
    <w:p w:rsidR="00377E9D" w:rsidRPr="005D2D4E" w:rsidRDefault="00F6204A" w:rsidP="00172944">
      <w:pPr>
        <w:spacing w:after="360"/>
        <w:rPr>
          <w:rFonts w:cs="Arial"/>
          <w:szCs w:val="24"/>
        </w:rPr>
      </w:pPr>
      <w:r>
        <w:rPr>
          <w:rFonts w:cs="Arial"/>
          <w:szCs w:val="24"/>
        </w:rPr>
        <w:lastRenderedPageBreak/>
        <w:t xml:space="preserve">Nur so ist es möglich, dass die </w:t>
      </w:r>
      <w:proofErr w:type="spellStart"/>
      <w:r>
        <w:rPr>
          <w:rFonts w:cs="Arial"/>
          <w:szCs w:val="24"/>
        </w:rPr>
        <w:t>SuS</w:t>
      </w:r>
      <w:proofErr w:type="spellEnd"/>
      <w:r>
        <w:rPr>
          <w:rFonts w:cs="Arial"/>
          <w:szCs w:val="24"/>
        </w:rPr>
        <w:t xml:space="preserve"> auch Querverbindungen und einen größeren Zusammenhang herstellen können. </w:t>
      </w:r>
      <w:r>
        <w:rPr>
          <w:rFonts w:cs="Arial"/>
          <w:szCs w:val="24"/>
        </w:rPr>
        <w:br/>
      </w:r>
      <w:r w:rsidR="0049358E">
        <w:rPr>
          <w:rFonts w:cs="Arial"/>
          <w:szCs w:val="24"/>
        </w:rPr>
        <w:t xml:space="preserve">Nachdem das gewählte Thema unmittelbar an den </w:t>
      </w:r>
      <w:r w:rsidR="0049358E" w:rsidRPr="00B9539F">
        <w:rPr>
          <w:rFonts w:cs="Arial"/>
          <w:b/>
          <w:szCs w:val="24"/>
        </w:rPr>
        <w:t>Erfahrungshintergrund</w:t>
      </w:r>
      <w:r w:rsidR="0049358E">
        <w:rPr>
          <w:rFonts w:cs="Arial"/>
          <w:szCs w:val="24"/>
        </w:rPr>
        <w:t xml:space="preserve"> der </w:t>
      </w:r>
      <w:proofErr w:type="spellStart"/>
      <w:r w:rsidR="0049358E">
        <w:rPr>
          <w:rFonts w:cs="Arial"/>
          <w:szCs w:val="24"/>
        </w:rPr>
        <w:t>SuS</w:t>
      </w:r>
      <w:proofErr w:type="spellEnd"/>
      <w:r w:rsidR="0049358E">
        <w:rPr>
          <w:rFonts w:cs="Arial"/>
          <w:szCs w:val="24"/>
        </w:rPr>
        <w:t xml:space="preserve"> anknüpft, ist es sehr wahrscheinlich, dass sich die </w:t>
      </w:r>
      <w:proofErr w:type="spellStart"/>
      <w:r w:rsidR="0049358E">
        <w:rPr>
          <w:rFonts w:cs="Arial"/>
          <w:szCs w:val="24"/>
        </w:rPr>
        <w:t>Sus</w:t>
      </w:r>
      <w:proofErr w:type="spellEnd"/>
      <w:r w:rsidR="0049358E">
        <w:rPr>
          <w:rFonts w:cs="Arial"/>
          <w:szCs w:val="24"/>
        </w:rPr>
        <w:t xml:space="preserve"> dafür interessieren. Der zu vermittelnde Inhalt ist durch seine Anschaulichkeit (Praxisbeispiele) für </w:t>
      </w:r>
      <w:proofErr w:type="spellStart"/>
      <w:r w:rsidR="0049358E">
        <w:rPr>
          <w:rFonts w:cs="Arial"/>
          <w:szCs w:val="24"/>
        </w:rPr>
        <w:t>SuS</w:t>
      </w:r>
      <w:proofErr w:type="spellEnd"/>
      <w:r w:rsidR="0049358E">
        <w:rPr>
          <w:rFonts w:cs="Arial"/>
          <w:szCs w:val="24"/>
        </w:rPr>
        <w:t xml:space="preserve"> sehr </w:t>
      </w:r>
      <w:r w:rsidR="0049358E" w:rsidRPr="00B9539F">
        <w:rPr>
          <w:rFonts w:cs="Arial"/>
          <w:b/>
          <w:szCs w:val="24"/>
        </w:rPr>
        <w:t>zugänglich</w:t>
      </w:r>
      <w:r w:rsidR="0049358E">
        <w:rPr>
          <w:rFonts w:cs="Arial"/>
          <w:szCs w:val="24"/>
        </w:rPr>
        <w:t xml:space="preserve">. </w:t>
      </w:r>
    </w:p>
    <w:p w:rsidR="003E5827" w:rsidRPr="00885CE1" w:rsidRDefault="003E5827" w:rsidP="005B59C1">
      <w:pPr>
        <w:pStyle w:val="Listenabsatz"/>
        <w:numPr>
          <w:ilvl w:val="0"/>
          <w:numId w:val="31"/>
        </w:numPr>
        <w:ind w:left="340" w:hanging="340"/>
        <w:rPr>
          <w:rFonts w:cs="Arial"/>
          <w:b/>
          <w:szCs w:val="24"/>
        </w:rPr>
      </w:pPr>
      <w:r w:rsidRPr="00885CE1">
        <w:rPr>
          <w:rFonts w:cs="Arial"/>
          <w:b/>
          <w:szCs w:val="24"/>
        </w:rPr>
        <w:t>Ziele, die durch den Unterricht erreicht werden können:</w:t>
      </w:r>
    </w:p>
    <w:p w:rsidR="003E5827" w:rsidRDefault="003E5827" w:rsidP="003E5827">
      <w:pPr>
        <w:rPr>
          <w:rFonts w:cs="Arial"/>
          <w:szCs w:val="24"/>
        </w:rPr>
      </w:pPr>
      <w:r>
        <w:rPr>
          <w:rFonts w:cs="Arial"/>
          <w:szCs w:val="24"/>
        </w:rPr>
        <w:t>Die Schülerinnen und Schüler (</w:t>
      </w:r>
      <w:proofErr w:type="spellStart"/>
      <w:r>
        <w:rPr>
          <w:rFonts w:cs="Arial"/>
          <w:szCs w:val="24"/>
        </w:rPr>
        <w:t>SuS</w:t>
      </w:r>
      <w:proofErr w:type="spellEnd"/>
      <w:r>
        <w:rPr>
          <w:rFonts w:cs="Arial"/>
          <w:szCs w:val="24"/>
        </w:rPr>
        <w:t>):</w:t>
      </w:r>
    </w:p>
    <w:p w:rsidR="00B94DF0" w:rsidRDefault="00B94DF0" w:rsidP="00B94DF0">
      <w:pPr>
        <w:pStyle w:val="Listenabsatz"/>
        <w:numPr>
          <w:ilvl w:val="0"/>
          <w:numId w:val="13"/>
        </w:numPr>
        <w:rPr>
          <w:rFonts w:cs="Arial"/>
          <w:szCs w:val="24"/>
        </w:rPr>
      </w:pPr>
      <w:r>
        <w:rPr>
          <w:rFonts w:cs="Arial"/>
          <w:szCs w:val="24"/>
        </w:rPr>
        <w:t xml:space="preserve">beschreiben im Zuge einer gemeinsamen Wiederholung die verschiedenen Mängelarten </w:t>
      </w:r>
      <w:r w:rsidR="00172944">
        <w:rPr>
          <w:rFonts w:cs="Arial"/>
          <w:szCs w:val="24"/>
        </w:rPr>
        <w:t>und fassen das Thema zusammen</w:t>
      </w:r>
    </w:p>
    <w:p w:rsidR="00B94DF0" w:rsidRDefault="00B94DF0" w:rsidP="00B94DF0">
      <w:pPr>
        <w:pStyle w:val="Listenabsatz"/>
        <w:numPr>
          <w:ilvl w:val="0"/>
          <w:numId w:val="13"/>
        </w:numPr>
        <w:rPr>
          <w:rFonts w:cs="Arial"/>
          <w:szCs w:val="24"/>
        </w:rPr>
      </w:pPr>
      <w:r w:rsidRPr="00B94DF0">
        <w:rPr>
          <w:rFonts w:cs="Arial"/>
          <w:szCs w:val="24"/>
        </w:rPr>
        <w:t>beschreiben den Unterschied zwischen Gewährleistung und Garantie durch die Besprechung und „Analy</w:t>
      </w:r>
      <w:r>
        <w:rPr>
          <w:rFonts w:cs="Arial"/>
          <w:szCs w:val="24"/>
        </w:rPr>
        <w:t>se“ von praktischen Beispielen</w:t>
      </w:r>
    </w:p>
    <w:p w:rsidR="00B94DF0" w:rsidRDefault="00B94DF0" w:rsidP="00B94DF0">
      <w:pPr>
        <w:pStyle w:val="Listenabsatz"/>
        <w:numPr>
          <w:ilvl w:val="0"/>
          <w:numId w:val="13"/>
        </w:numPr>
        <w:rPr>
          <w:rFonts w:cs="Arial"/>
          <w:szCs w:val="24"/>
        </w:rPr>
      </w:pPr>
      <w:r w:rsidRPr="00B94DF0">
        <w:rPr>
          <w:rFonts w:cs="Arial"/>
          <w:szCs w:val="24"/>
        </w:rPr>
        <w:t>wiederholen und festigen den Inhalt des Themas, indem sie unterschiedliche Merkmale zuordnen</w:t>
      </w:r>
      <w:r>
        <w:rPr>
          <w:rFonts w:cs="Arial"/>
          <w:szCs w:val="24"/>
        </w:rPr>
        <w:t xml:space="preserve"> (Aufgaben Arbeitsblatt)</w:t>
      </w:r>
    </w:p>
    <w:p w:rsidR="00B94DF0" w:rsidRDefault="00B94DF0" w:rsidP="00B94DF0">
      <w:pPr>
        <w:pStyle w:val="Listenabsatz"/>
        <w:numPr>
          <w:ilvl w:val="0"/>
          <w:numId w:val="13"/>
        </w:numPr>
        <w:rPr>
          <w:rFonts w:cs="Arial"/>
          <w:szCs w:val="24"/>
        </w:rPr>
      </w:pPr>
      <w:r w:rsidRPr="00B94DF0">
        <w:rPr>
          <w:rFonts w:cs="Arial"/>
          <w:szCs w:val="24"/>
        </w:rPr>
        <w:t xml:space="preserve">lösen praktische </w:t>
      </w:r>
      <w:r>
        <w:rPr>
          <w:rFonts w:cs="Arial"/>
          <w:szCs w:val="24"/>
        </w:rPr>
        <w:t>Fallb</w:t>
      </w:r>
      <w:r w:rsidRPr="00B94DF0">
        <w:rPr>
          <w:rFonts w:cs="Arial"/>
          <w:szCs w:val="24"/>
        </w:rPr>
        <w:t>eispiele und begründen ihre Entscheidung</w:t>
      </w:r>
    </w:p>
    <w:p w:rsidR="00172944" w:rsidRPr="00172944" w:rsidRDefault="00172944" w:rsidP="00172944">
      <w:pPr>
        <w:pStyle w:val="Listenabsatz"/>
        <w:numPr>
          <w:ilvl w:val="0"/>
          <w:numId w:val="13"/>
        </w:numPr>
        <w:rPr>
          <w:rFonts w:cs="Arial"/>
          <w:szCs w:val="24"/>
        </w:rPr>
      </w:pPr>
      <w:r>
        <w:rPr>
          <w:rFonts w:cs="Arial"/>
          <w:szCs w:val="24"/>
        </w:rPr>
        <w:t>bearbeiten einen Text im Buch und filtern fehlende Information heraus</w:t>
      </w:r>
    </w:p>
    <w:p w:rsidR="00B94DF0" w:rsidRPr="00B94DF0" w:rsidRDefault="00B94DF0" w:rsidP="00B94DF0">
      <w:pPr>
        <w:pStyle w:val="Listenabsatz"/>
        <w:numPr>
          <w:ilvl w:val="0"/>
          <w:numId w:val="13"/>
        </w:numPr>
        <w:rPr>
          <w:rFonts w:cs="Arial"/>
          <w:szCs w:val="24"/>
        </w:rPr>
      </w:pPr>
      <w:r>
        <w:rPr>
          <w:rFonts w:cs="Arial"/>
          <w:szCs w:val="24"/>
        </w:rPr>
        <w:t>reflektieren und beurteilen kritisch persönliche Erfahrungen des täglichen Lebens (Sichtweise als Konsument/in/ Sichtweise als Verkäufer/in)</w:t>
      </w:r>
    </w:p>
    <w:p w:rsidR="003E5827" w:rsidRPr="00172944" w:rsidRDefault="00B94DF0" w:rsidP="00172944">
      <w:pPr>
        <w:pStyle w:val="Listenabsatz"/>
        <w:numPr>
          <w:ilvl w:val="0"/>
          <w:numId w:val="13"/>
        </w:numPr>
        <w:spacing w:after="360"/>
        <w:ind w:left="714" w:hanging="357"/>
        <w:contextualSpacing w:val="0"/>
        <w:rPr>
          <w:rFonts w:cs="Arial"/>
          <w:szCs w:val="24"/>
        </w:rPr>
      </w:pPr>
      <w:r w:rsidRPr="00B94DF0">
        <w:rPr>
          <w:rFonts w:cs="Arial"/>
          <w:szCs w:val="24"/>
        </w:rPr>
        <w:t xml:space="preserve">fassen die Informationen in Form eines Merkblattes </w:t>
      </w:r>
      <w:r w:rsidR="00172944">
        <w:rPr>
          <w:rFonts w:cs="Arial"/>
          <w:szCs w:val="24"/>
        </w:rPr>
        <w:t>zusammen und verwenden dies als Lerngrundlage</w:t>
      </w:r>
    </w:p>
    <w:p w:rsidR="00885CE1" w:rsidRDefault="00885CE1" w:rsidP="005B59C1">
      <w:pPr>
        <w:pStyle w:val="Listenabsatz"/>
        <w:numPr>
          <w:ilvl w:val="0"/>
          <w:numId w:val="31"/>
        </w:numPr>
        <w:ind w:left="340" w:hanging="340"/>
        <w:rPr>
          <w:rFonts w:cs="Arial"/>
          <w:b/>
          <w:szCs w:val="24"/>
        </w:rPr>
      </w:pPr>
      <w:r>
        <w:rPr>
          <w:rFonts w:cs="Arial"/>
          <w:b/>
          <w:szCs w:val="24"/>
        </w:rPr>
        <w:t>Auswahl</w:t>
      </w:r>
      <w:r w:rsidRPr="00885CE1">
        <w:rPr>
          <w:rFonts w:cs="Arial"/>
          <w:b/>
          <w:szCs w:val="24"/>
        </w:rPr>
        <w:t xml:space="preserve"> der Methoden:</w:t>
      </w:r>
    </w:p>
    <w:p w:rsidR="002E52BE" w:rsidRDefault="002E52BE" w:rsidP="0057291C">
      <w:pPr>
        <w:pStyle w:val="Listenabsatz"/>
        <w:numPr>
          <w:ilvl w:val="0"/>
          <w:numId w:val="0"/>
        </w:numPr>
        <w:rPr>
          <w:rFonts w:cs="Arial"/>
          <w:szCs w:val="24"/>
        </w:rPr>
      </w:pPr>
      <w:r>
        <w:rPr>
          <w:rFonts w:cs="Arial"/>
          <w:szCs w:val="24"/>
        </w:rPr>
        <w:t xml:space="preserve">Eine abwechslungsreiche Gestaltung des Unterrichts ist mir sehr wichtig, damit ich den Großteil der </w:t>
      </w:r>
      <w:proofErr w:type="spellStart"/>
      <w:r>
        <w:rPr>
          <w:rFonts w:cs="Arial"/>
          <w:szCs w:val="24"/>
        </w:rPr>
        <w:t>SuS</w:t>
      </w:r>
      <w:proofErr w:type="spellEnd"/>
      <w:r>
        <w:rPr>
          <w:rFonts w:cs="Arial"/>
          <w:szCs w:val="24"/>
        </w:rPr>
        <w:t xml:space="preserve"> erreichen kann - die inhaltliche Aufbereitung und Vertiefung findet auf unterschiedlichen Ebenen statt. </w:t>
      </w:r>
    </w:p>
    <w:p w:rsidR="00831590" w:rsidRDefault="002E52BE" w:rsidP="0057291C">
      <w:pPr>
        <w:pStyle w:val="Listenabsatz"/>
        <w:numPr>
          <w:ilvl w:val="0"/>
          <w:numId w:val="0"/>
        </w:numPr>
        <w:rPr>
          <w:rFonts w:cs="Arial"/>
          <w:szCs w:val="24"/>
        </w:rPr>
      </w:pPr>
      <w:r>
        <w:rPr>
          <w:rFonts w:cs="Arial"/>
          <w:szCs w:val="24"/>
        </w:rPr>
        <w:t xml:space="preserve">Als </w:t>
      </w:r>
      <w:r w:rsidRPr="004512D1">
        <w:rPr>
          <w:rFonts w:cs="Arial"/>
          <w:b/>
          <w:szCs w:val="24"/>
        </w:rPr>
        <w:t>Einstieg</w:t>
      </w:r>
      <w:r>
        <w:rPr>
          <w:rFonts w:cs="Arial"/>
          <w:szCs w:val="24"/>
        </w:rPr>
        <w:t xml:space="preserve"> gebe ich den </w:t>
      </w:r>
      <w:proofErr w:type="spellStart"/>
      <w:r>
        <w:rPr>
          <w:rFonts w:cs="Arial"/>
          <w:szCs w:val="24"/>
        </w:rPr>
        <w:t>SuS</w:t>
      </w:r>
      <w:proofErr w:type="spellEnd"/>
      <w:r>
        <w:rPr>
          <w:rFonts w:cs="Arial"/>
          <w:szCs w:val="24"/>
        </w:rPr>
        <w:t xml:space="preserve"> immer einen </w:t>
      </w:r>
      <w:r w:rsidRPr="00E35233">
        <w:rPr>
          <w:rFonts w:cs="Arial"/>
          <w:b/>
          <w:szCs w:val="24"/>
        </w:rPr>
        <w:t>Überblick</w:t>
      </w:r>
      <w:r>
        <w:rPr>
          <w:rFonts w:cs="Arial"/>
          <w:szCs w:val="24"/>
        </w:rPr>
        <w:t xml:space="preserve"> über den Stundenverlauf, damit sie wissen, was sie erwartet</w:t>
      </w:r>
      <w:r w:rsidR="00E35233">
        <w:rPr>
          <w:rFonts w:cs="Arial"/>
          <w:szCs w:val="24"/>
        </w:rPr>
        <w:t xml:space="preserve"> (Tafel, Flipchart)</w:t>
      </w:r>
      <w:r>
        <w:rPr>
          <w:rFonts w:cs="Arial"/>
          <w:szCs w:val="24"/>
        </w:rPr>
        <w:t xml:space="preserve">. </w:t>
      </w:r>
    </w:p>
    <w:p w:rsidR="0049358E" w:rsidRDefault="002E52BE" w:rsidP="0057291C">
      <w:pPr>
        <w:pStyle w:val="Listenabsatz"/>
        <w:numPr>
          <w:ilvl w:val="0"/>
          <w:numId w:val="0"/>
        </w:numPr>
        <w:rPr>
          <w:rFonts w:cs="Arial"/>
          <w:szCs w:val="24"/>
        </w:rPr>
      </w:pPr>
      <w:r>
        <w:rPr>
          <w:rFonts w:cs="Arial"/>
          <w:szCs w:val="24"/>
        </w:rPr>
        <w:t xml:space="preserve">Zudem finde ich es wichtig, an das Vergangene anzuknüpfen, damit den </w:t>
      </w:r>
      <w:proofErr w:type="spellStart"/>
      <w:r>
        <w:rPr>
          <w:rFonts w:cs="Arial"/>
          <w:szCs w:val="24"/>
        </w:rPr>
        <w:t>SuS</w:t>
      </w:r>
      <w:proofErr w:type="spellEnd"/>
      <w:r>
        <w:rPr>
          <w:rFonts w:cs="Arial"/>
          <w:szCs w:val="24"/>
        </w:rPr>
        <w:t xml:space="preserve"> der Einstieg in die Thematik leichter fällt und ein Bezug hergestellt werden kann. </w:t>
      </w:r>
    </w:p>
    <w:p w:rsidR="00E35233" w:rsidRDefault="002E52BE" w:rsidP="0057291C">
      <w:pPr>
        <w:pStyle w:val="Listenabsatz"/>
        <w:numPr>
          <w:ilvl w:val="0"/>
          <w:numId w:val="0"/>
        </w:numPr>
        <w:rPr>
          <w:rFonts w:cs="Arial"/>
          <w:szCs w:val="24"/>
        </w:rPr>
      </w:pPr>
      <w:r>
        <w:rPr>
          <w:rFonts w:cs="Arial"/>
          <w:szCs w:val="24"/>
        </w:rPr>
        <w:lastRenderedPageBreak/>
        <w:t xml:space="preserve">Die </w:t>
      </w:r>
      <w:r w:rsidRPr="00E35233">
        <w:rPr>
          <w:rFonts w:cs="Arial"/>
          <w:b/>
          <w:szCs w:val="24"/>
        </w:rPr>
        <w:t>Wiederholung des Themas</w:t>
      </w:r>
      <w:r>
        <w:rPr>
          <w:rFonts w:cs="Arial"/>
          <w:szCs w:val="24"/>
        </w:rPr>
        <w:t xml:space="preserve"> der letzten Stunde(n) beginne ich sehr gerne mit einer </w:t>
      </w:r>
      <w:r w:rsidRPr="004512D1">
        <w:rPr>
          <w:rFonts w:cs="Arial"/>
          <w:b/>
          <w:szCs w:val="24"/>
        </w:rPr>
        <w:t>offenen Fragestellung</w:t>
      </w:r>
      <w:r>
        <w:rPr>
          <w:rFonts w:cs="Arial"/>
          <w:szCs w:val="24"/>
        </w:rPr>
        <w:t xml:space="preserve">, damit alle </w:t>
      </w:r>
      <w:proofErr w:type="spellStart"/>
      <w:r>
        <w:rPr>
          <w:rFonts w:cs="Arial"/>
          <w:szCs w:val="24"/>
        </w:rPr>
        <w:t>SuS</w:t>
      </w:r>
      <w:proofErr w:type="spellEnd"/>
      <w:r>
        <w:rPr>
          <w:rFonts w:cs="Arial"/>
          <w:szCs w:val="24"/>
        </w:rPr>
        <w:t xml:space="preserve"> di</w:t>
      </w:r>
      <w:r w:rsidR="00BD7465">
        <w:rPr>
          <w:rFonts w:cs="Arial"/>
          <w:szCs w:val="24"/>
        </w:rPr>
        <w:t xml:space="preserve">e Möglichkeit haben, sich einzubringen. Im Laufe des Gespräches wird das Gespräch dann immer konkreter und gezielter, da sich die </w:t>
      </w:r>
      <w:proofErr w:type="spellStart"/>
      <w:r w:rsidR="00BD7465">
        <w:rPr>
          <w:rFonts w:cs="Arial"/>
          <w:szCs w:val="24"/>
        </w:rPr>
        <w:t>SuS</w:t>
      </w:r>
      <w:proofErr w:type="spellEnd"/>
      <w:r w:rsidR="00BD7465">
        <w:rPr>
          <w:rFonts w:cs="Arial"/>
          <w:szCs w:val="24"/>
        </w:rPr>
        <w:t xml:space="preserve"> mehr und mehr an die Inhalte erinnern. </w:t>
      </w:r>
    </w:p>
    <w:p w:rsidR="004512D1" w:rsidRDefault="00BD7465" w:rsidP="0057291C">
      <w:pPr>
        <w:pStyle w:val="Listenabsatz"/>
        <w:numPr>
          <w:ilvl w:val="0"/>
          <w:numId w:val="0"/>
        </w:numPr>
        <w:rPr>
          <w:rFonts w:cs="Arial"/>
          <w:szCs w:val="24"/>
        </w:rPr>
      </w:pPr>
      <w:r>
        <w:rPr>
          <w:rFonts w:cs="Arial"/>
          <w:szCs w:val="24"/>
        </w:rPr>
        <w:t xml:space="preserve">Für das </w:t>
      </w:r>
      <w:r w:rsidRPr="004512D1">
        <w:rPr>
          <w:rFonts w:cs="Arial"/>
          <w:b/>
          <w:szCs w:val="24"/>
        </w:rPr>
        <w:t>Erarbeiten neuer Inhalte</w:t>
      </w:r>
      <w:r>
        <w:rPr>
          <w:rFonts w:cs="Arial"/>
          <w:szCs w:val="24"/>
        </w:rPr>
        <w:t xml:space="preserve"> erfinde ich immer wieder </w:t>
      </w:r>
      <w:r w:rsidRPr="00E35233">
        <w:rPr>
          <w:rFonts w:cs="Arial"/>
          <w:b/>
          <w:szCs w:val="24"/>
        </w:rPr>
        <w:t>praxisnahe Fallbeispiele</w:t>
      </w:r>
      <w:r>
        <w:rPr>
          <w:rFonts w:cs="Arial"/>
          <w:szCs w:val="24"/>
        </w:rPr>
        <w:t xml:space="preserve">, damit der Bezug zur Lebenswelt der </w:t>
      </w:r>
      <w:proofErr w:type="spellStart"/>
      <w:r>
        <w:rPr>
          <w:rFonts w:cs="Arial"/>
          <w:szCs w:val="24"/>
        </w:rPr>
        <w:t>SuS</w:t>
      </w:r>
      <w:proofErr w:type="spellEnd"/>
      <w:r>
        <w:rPr>
          <w:rFonts w:cs="Arial"/>
          <w:szCs w:val="24"/>
        </w:rPr>
        <w:t xml:space="preserve"> gegeben ist. Dadurch fühlen sie sich angesprochen und können den theoretischen Inhalt besser umlegen und Querverbindungen herstellen. </w:t>
      </w:r>
    </w:p>
    <w:p w:rsidR="00E35233" w:rsidRDefault="004512D1" w:rsidP="0057291C">
      <w:pPr>
        <w:pStyle w:val="Listenabsatz"/>
        <w:numPr>
          <w:ilvl w:val="0"/>
          <w:numId w:val="0"/>
        </w:numPr>
        <w:rPr>
          <w:rFonts w:cs="Arial"/>
          <w:szCs w:val="24"/>
        </w:rPr>
      </w:pPr>
      <w:r>
        <w:rPr>
          <w:rFonts w:cs="Arial"/>
          <w:szCs w:val="24"/>
        </w:rPr>
        <w:t xml:space="preserve">Die wesentlichen Punkte halte ich dann in einem </w:t>
      </w:r>
      <w:r w:rsidRPr="004512D1">
        <w:rPr>
          <w:rFonts w:cs="Arial"/>
          <w:b/>
          <w:szCs w:val="24"/>
        </w:rPr>
        <w:t>Tafelbild</w:t>
      </w:r>
      <w:r>
        <w:rPr>
          <w:rFonts w:cs="Arial"/>
          <w:szCs w:val="24"/>
        </w:rPr>
        <w:t xml:space="preserve"> fest, damit die </w:t>
      </w:r>
      <w:proofErr w:type="spellStart"/>
      <w:r>
        <w:rPr>
          <w:rFonts w:cs="Arial"/>
          <w:szCs w:val="24"/>
        </w:rPr>
        <w:t>SuS</w:t>
      </w:r>
      <w:proofErr w:type="spellEnd"/>
      <w:r>
        <w:rPr>
          <w:rFonts w:cs="Arial"/>
          <w:szCs w:val="24"/>
        </w:rPr>
        <w:t xml:space="preserve"> auch wissen, welche Inhalte relevant sind (Filtern von Informationen).</w:t>
      </w:r>
    </w:p>
    <w:p w:rsidR="004512D1" w:rsidRDefault="00BD7465" w:rsidP="0057291C">
      <w:pPr>
        <w:pStyle w:val="Listenabsatz"/>
        <w:numPr>
          <w:ilvl w:val="0"/>
          <w:numId w:val="0"/>
        </w:numPr>
        <w:rPr>
          <w:rFonts w:cs="Arial"/>
          <w:szCs w:val="24"/>
        </w:rPr>
      </w:pPr>
      <w:r>
        <w:rPr>
          <w:rFonts w:cs="Arial"/>
          <w:szCs w:val="24"/>
        </w:rPr>
        <w:t xml:space="preserve">Im Laufe einer Unterrichtseinheit ist mir das </w:t>
      </w:r>
      <w:r w:rsidRPr="004512D1">
        <w:rPr>
          <w:rFonts w:cs="Arial"/>
          <w:b/>
          <w:szCs w:val="24"/>
        </w:rPr>
        <w:t>Wiederholen</w:t>
      </w:r>
      <w:r w:rsidRPr="004512D1">
        <w:rPr>
          <w:rFonts w:cs="Arial"/>
          <w:szCs w:val="24"/>
        </w:rPr>
        <w:t xml:space="preserve"> der Inhalte</w:t>
      </w:r>
      <w:r>
        <w:rPr>
          <w:rFonts w:cs="Arial"/>
          <w:szCs w:val="24"/>
        </w:rPr>
        <w:t xml:space="preserve"> auch immer sehr wichtig. Einerseits möchte ich, dass die </w:t>
      </w:r>
      <w:proofErr w:type="spellStart"/>
      <w:r>
        <w:rPr>
          <w:rFonts w:cs="Arial"/>
          <w:szCs w:val="24"/>
        </w:rPr>
        <w:t>SuS</w:t>
      </w:r>
      <w:proofErr w:type="spellEnd"/>
      <w:r>
        <w:rPr>
          <w:rFonts w:cs="Arial"/>
          <w:szCs w:val="24"/>
        </w:rPr>
        <w:t xml:space="preserve"> überprüfen, ob sie die Inhalte verstanden haben, andererseits wird das erworbene Wissen dadurch gefestigt. </w:t>
      </w:r>
    </w:p>
    <w:p w:rsidR="004512D1" w:rsidRDefault="00BD7465" w:rsidP="0057291C">
      <w:pPr>
        <w:pStyle w:val="Listenabsatz"/>
        <w:numPr>
          <w:ilvl w:val="0"/>
          <w:numId w:val="0"/>
        </w:numPr>
        <w:rPr>
          <w:rFonts w:cs="Arial"/>
          <w:szCs w:val="24"/>
        </w:rPr>
      </w:pPr>
      <w:r>
        <w:rPr>
          <w:rFonts w:cs="Arial"/>
          <w:szCs w:val="24"/>
        </w:rPr>
        <w:t xml:space="preserve">Als </w:t>
      </w:r>
      <w:r w:rsidRPr="003B4DD5">
        <w:rPr>
          <w:rFonts w:cs="Arial"/>
          <w:b/>
          <w:szCs w:val="24"/>
        </w:rPr>
        <w:t>Lernunterstützung</w:t>
      </w:r>
      <w:r>
        <w:rPr>
          <w:rFonts w:cs="Arial"/>
          <w:szCs w:val="24"/>
        </w:rPr>
        <w:t xml:space="preserve"> lasse ich die </w:t>
      </w:r>
      <w:proofErr w:type="spellStart"/>
      <w:r>
        <w:rPr>
          <w:rFonts w:cs="Arial"/>
          <w:szCs w:val="24"/>
        </w:rPr>
        <w:t>SuS</w:t>
      </w:r>
      <w:proofErr w:type="spellEnd"/>
      <w:r>
        <w:rPr>
          <w:rFonts w:cs="Arial"/>
          <w:szCs w:val="24"/>
        </w:rPr>
        <w:t xml:space="preserve"> ein </w:t>
      </w:r>
      <w:r w:rsidRPr="004512D1">
        <w:rPr>
          <w:rFonts w:cs="Arial"/>
          <w:b/>
          <w:szCs w:val="24"/>
        </w:rPr>
        <w:t>persönliches „Merkblatt“</w:t>
      </w:r>
      <w:r>
        <w:rPr>
          <w:rFonts w:cs="Arial"/>
          <w:szCs w:val="24"/>
        </w:rPr>
        <w:t xml:space="preserve"> gestalten</w:t>
      </w:r>
      <w:r w:rsidR="00072000">
        <w:rPr>
          <w:rFonts w:cs="Arial"/>
          <w:szCs w:val="24"/>
        </w:rPr>
        <w:t xml:space="preserve"> (individuelle Übertragung des Tafelbildes), dies trägt auch zur Sicherung des Unterrichtsertrages bei. </w:t>
      </w:r>
    </w:p>
    <w:p w:rsidR="004512D1" w:rsidRDefault="00072000" w:rsidP="0057291C">
      <w:pPr>
        <w:pStyle w:val="Listenabsatz"/>
        <w:numPr>
          <w:ilvl w:val="0"/>
          <w:numId w:val="0"/>
        </w:numPr>
        <w:rPr>
          <w:rFonts w:cs="Arial"/>
          <w:szCs w:val="24"/>
        </w:rPr>
      </w:pPr>
      <w:r w:rsidRPr="003B4DD5">
        <w:rPr>
          <w:rFonts w:cs="Arial"/>
          <w:b/>
          <w:szCs w:val="24"/>
        </w:rPr>
        <w:t>Vertiefend</w:t>
      </w:r>
      <w:r>
        <w:rPr>
          <w:rFonts w:cs="Arial"/>
          <w:szCs w:val="24"/>
        </w:rPr>
        <w:t xml:space="preserve"> lösen die </w:t>
      </w:r>
      <w:proofErr w:type="spellStart"/>
      <w:r>
        <w:rPr>
          <w:rFonts w:cs="Arial"/>
          <w:szCs w:val="24"/>
        </w:rPr>
        <w:t>SuS</w:t>
      </w:r>
      <w:proofErr w:type="spellEnd"/>
      <w:r>
        <w:rPr>
          <w:rFonts w:cs="Arial"/>
          <w:szCs w:val="24"/>
        </w:rPr>
        <w:t xml:space="preserve"> </w:t>
      </w:r>
      <w:r w:rsidRPr="004512D1">
        <w:rPr>
          <w:rFonts w:cs="Arial"/>
          <w:b/>
          <w:szCs w:val="24"/>
        </w:rPr>
        <w:t>Fallbeispiele</w:t>
      </w:r>
      <w:r>
        <w:rPr>
          <w:rFonts w:cs="Arial"/>
          <w:szCs w:val="24"/>
        </w:rPr>
        <w:t xml:space="preserve"> in Partnerarbeit, Alltagssituationen werden im Team diskutiert und die entsprechende Lösung begründet. </w:t>
      </w:r>
    </w:p>
    <w:p w:rsidR="004512D1" w:rsidRDefault="00072000" w:rsidP="0057291C">
      <w:pPr>
        <w:pStyle w:val="Listenabsatz"/>
        <w:numPr>
          <w:ilvl w:val="0"/>
          <w:numId w:val="0"/>
        </w:numPr>
        <w:rPr>
          <w:rFonts w:cs="Arial"/>
          <w:szCs w:val="24"/>
        </w:rPr>
      </w:pPr>
      <w:r>
        <w:rPr>
          <w:rFonts w:cs="Arial"/>
          <w:szCs w:val="24"/>
        </w:rPr>
        <w:t xml:space="preserve">Die </w:t>
      </w:r>
      <w:r w:rsidRPr="003B4DD5">
        <w:rPr>
          <w:rFonts w:cs="Arial"/>
          <w:b/>
          <w:szCs w:val="24"/>
        </w:rPr>
        <w:t>Aufgabenkontrolle</w:t>
      </w:r>
      <w:r>
        <w:rPr>
          <w:rFonts w:cs="Arial"/>
          <w:szCs w:val="24"/>
        </w:rPr>
        <w:t xml:space="preserve"> erfolgt einmal über den </w:t>
      </w:r>
      <w:proofErr w:type="spellStart"/>
      <w:r w:rsidRPr="004512D1">
        <w:rPr>
          <w:rFonts w:cs="Arial"/>
          <w:b/>
          <w:szCs w:val="24"/>
        </w:rPr>
        <w:t>Beamer</w:t>
      </w:r>
      <w:proofErr w:type="spellEnd"/>
      <w:r>
        <w:rPr>
          <w:rFonts w:cs="Arial"/>
          <w:szCs w:val="24"/>
        </w:rPr>
        <w:t xml:space="preserve"> (Zuordnungsübung), wenn es um die Überprüfung des Lernertrages geht, steht für mich das </w:t>
      </w:r>
      <w:r w:rsidRPr="004512D1">
        <w:rPr>
          <w:rFonts w:cs="Arial"/>
          <w:b/>
          <w:szCs w:val="24"/>
        </w:rPr>
        <w:t>Lehrer-Schüler-Gespräch</w:t>
      </w:r>
      <w:r>
        <w:rPr>
          <w:rFonts w:cs="Arial"/>
          <w:szCs w:val="24"/>
        </w:rPr>
        <w:t xml:space="preserve"> im Vordergrund. Im Zuge dessen erhalte ich einen Einblick, ob die </w:t>
      </w:r>
      <w:proofErr w:type="spellStart"/>
      <w:r>
        <w:rPr>
          <w:rFonts w:cs="Arial"/>
          <w:szCs w:val="24"/>
        </w:rPr>
        <w:t>SuS</w:t>
      </w:r>
      <w:proofErr w:type="spellEnd"/>
      <w:r>
        <w:rPr>
          <w:rFonts w:cs="Arial"/>
          <w:szCs w:val="24"/>
        </w:rPr>
        <w:t xml:space="preserve"> das Gelernte auch anwenden können, offene Fragen und Unklarheiten können dadurch auch bereinigt werden. </w:t>
      </w:r>
    </w:p>
    <w:p w:rsidR="00885CE1" w:rsidRDefault="00072000" w:rsidP="0057291C">
      <w:pPr>
        <w:pStyle w:val="Listenabsatz"/>
        <w:numPr>
          <w:ilvl w:val="0"/>
          <w:numId w:val="0"/>
        </w:numPr>
        <w:rPr>
          <w:rFonts w:cs="Arial"/>
          <w:szCs w:val="24"/>
        </w:rPr>
      </w:pPr>
      <w:r>
        <w:rPr>
          <w:rFonts w:cs="Arial"/>
          <w:szCs w:val="24"/>
        </w:rPr>
        <w:t xml:space="preserve">Abschließend setze ich zur </w:t>
      </w:r>
      <w:r w:rsidRPr="003B4DD5">
        <w:rPr>
          <w:rFonts w:cs="Arial"/>
          <w:b/>
          <w:szCs w:val="24"/>
        </w:rPr>
        <w:t>Wiede</w:t>
      </w:r>
      <w:r w:rsidR="006D5BD7" w:rsidRPr="003B4DD5">
        <w:rPr>
          <w:rFonts w:cs="Arial"/>
          <w:b/>
          <w:szCs w:val="24"/>
        </w:rPr>
        <w:t>rholung</w:t>
      </w:r>
      <w:r w:rsidR="006D5BD7">
        <w:rPr>
          <w:rFonts w:cs="Arial"/>
          <w:szCs w:val="24"/>
        </w:rPr>
        <w:t xml:space="preserve"> noch ein </w:t>
      </w:r>
      <w:r w:rsidR="006D5BD7" w:rsidRPr="004512D1">
        <w:rPr>
          <w:rFonts w:cs="Arial"/>
          <w:b/>
          <w:szCs w:val="24"/>
        </w:rPr>
        <w:t>Kurzvideo</w:t>
      </w:r>
      <w:r w:rsidR="006D5BD7">
        <w:rPr>
          <w:rFonts w:cs="Arial"/>
          <w:szCs w:val="24"/>
        </w:rPr>
        <w:t xml:space="preserve"> ein, die Veranschaulichung eines Themas hat sich als gute Festigung eines Themas bewährt. D</w:t>
      </w:r>
      <w:r>
        <w:rPr>
          <w:rFonts w:cs="Arial"/>
          <w:szCs w:val="24"/>
        </w:rPr>
        <w:t xml:space="preserve">ie wichtigsten Inhalte </w:t>
      </w:r>
      <w:r w:rsidR="006D5BD7">
        <w:rPr>
          <w:rFonts w:cs="Arial"/>
          <w:szCs w:val="24"/>
        </w:rPr>
        <w:t xml:space="preserve">werden </w:t>
      </w:r>
      <w:r>
        <w:rPr>
          <w:rFonts w:cs="Arial"/>
          <w:szCs w:val="24"/>
        </w:rPr>
        <w:t>kurz und bündig auf den Punkt gebracht</w:t>
      </w:r>
      <w:r w:rsidR="006D5BD7">
        <w:rPr>
          <w:rFonts w:cs="Arial"/>
          <w:szCs w:val="24"/>
        </w:rPr>
        <w:t>, das Wesentliche wird bearbeitet und wiederholt.</w:t>
      </w:r>
    </w:p>
    <w:p w:rsidR="003B4DD5" w:rsidRDefault="003B4DD5" w:rsidP="0057291C">
      <w:pPr>
        <w:pStyle w:val="Listenabsatz"/>
        <w:numPr>
          <w:ilvl w:val="0"/>
          <w:numId w:val="0"/>
        </w:numPr>
        <w:rPr>
          <w:rFonts w:cs="Arial"/>
          <w:szCs w:val="24"/>
        </w:rPr>
      </w:pPr>
      <w:r>
        <w:rPr>
          <w:rFonts w:cs="Arial"/>
          <w:szCs w:val="24"/>
        </w:rPr>
        <w:t xml:space="preserve">Unterstützend zur </w:t>
      </w:r>
      <w:r w:rsidRPr="003B4DD5">
        <w:rPr>
          <w:rFonts w:cs="Arial"/>
          <w:b/>
          <w:szCs w:val="24"/>
        </w:rPr>
        <w:t>Reflexion</w:t>
      </w:r>
      <w:r>
        <w:rPr>
          <w:rFonts w:cs="Arial"/>
          <w:szCs w:val="24"/>
        </w:rPr>
        <w:t xml:space="preserve"> meines Unterrichts bitte ich die </w:t>
      </w:r>
      <w:proofErr w:type="spellStart"/>
      <w:r>
        <w:rPr>
          <w:rFonts w:cs="Arial"/>
          <w:szCs w:val="24"/>
        </w:rPr>
        <w:t>SuS</w:t>
      </w:r>
      <w:proofErr w:type="spellEnd"/>
      <w:r>
        <w:rPr>
          <w:rFonts w:cs="Arial"/>
          <w:szCs w:val="24"/>
        </w:rPr>
        <w:t xml:space="preserve"> einen </w:t>
      </w:r>
      <w:r w:rsidRPr="003B4DD5">
        <w:rPr>
          <w:rFonts w:cs="Arial"/>
          <w:b/>
          <w:szCs w:val="24"/>
        </w:rPr>
        <w:t>Reflexionsbogen</w:t>
      </w:r>
      <w:r>
        <w:rPr>
          <w:rFonts w:cs="Arial"/>
          <w:szCs w:val="24"/>
        </w:rPr>
        <w:t xml:space="preserve"> auszufüllen. Die Ergebnisse werde ich in meine weitere Unterrichtsplanung miteinbeziehen, dies hilft mir, meinen Unterricht zu optimieren und weiter zu entwickeln.</w:t>
      </w:r>
    </w:p>
    <w:p w:rsidR="0057291C" w:rsidRPr="0057291C" w:rsidRDefault="0057291C" w:rsidP="0057291C">
      <w:pPr>
        <w:pStyle w:val="Listenabsatz"/>
        <w:numPr>
          <w:ilvl w:val="0"/>
          <w:numId w:val="0"/>
        </w:numPr>
        <w:rPr>
          <w:rFonts w:cs="Arial"/>
          <w:szCs w:val="24"/>
        </w:rPr>
      </w:pPr>
    </w:p>
    <w:p w:rsidR="00885CE1" w:rsidRDefault="00885CE1" w:rsidP="005B59C1">
      <w:pPr>
        <w:pStyle w:val="Listenabsatz"/>
        <w:numPr>
          <w:ilvl w:val="0"/>
          <w:numId w:val="31"/>
        </w:numPr>
        <w:ind w:left="340" w:hanging="340"/>
        <w:rPr>
          <w:rFonts w:cs="Arial"/>
          <w:b/>
          <w:szCs w:val="24"/>
        </w:rPr>
      </w:pPr>
      <w:r>
        <w:rPr>
          <w:rFonts w:cs="Arial"/>
          <w:b/>
          <w:szCs w:val="24"/>
        </w:rPr>
        <w:lastRenderedPageBreak/>
        <w:t>Auswahl der Medien:</w:t>
      </w:r>
    </w:p>
    <w:p w:rsidR="009D4540" w:rsidRDefault="000258CF" w:rsidP="00885CE1">
      <w:pPr>
        <w:pStyle w:val="Listenabsatz"/>
        <w:numPr>
          <w:ilvl w:val="0"/>
          <w:numId w:val="0"/>
        </w:numPr>
        <w:rPr>
          <w:rFonts w:cs="Arial"/>
          <w:szCs w:val="24"/>
        </w:rPr>
      </w:pPr>
      <w:r>
        <w:rPr>
          <w:rFonts w:cs="Arial"/>
          <w:szCs w:val="24"/>
        </w:rPr>
        <w:t>Bei der Auswahl der Medien achte ich ebenfalls auf Abwechslung, damit der Un</w:t>
      </w:r>
      <w:r w:rsidR="009D4540">
        <w:rPr>
          <w:rFonts w:cs="Arial"/>
          <w:szCs w:val="24"/>
        </w:rPr>
        <w:t>terricht nicht zu monoton wird.</w:t>
      </w:r>
    </w:p>
    <w:p w:rsidR="00CD4119" w:rsidRDefault="000258CF" w:rsidP="00885CE1">
      <w:pPr>
        <w:pStyle w:val="Listenabsatz"/>
        <w:numPr>
          <w:ilvl w:val="0"/>
          <w:numId w:val="0"/>
        </w:numPr>
        <w:rPr>
          <w:rFonts w:cs="Arial"/>
          <w:szCs w:val="24"/>
        </w:rPr>
      </w:pPr>
      <w:r>
        <w:rPr>
          <w:rFonts w:cs="Arial"/>
          <w:szCs w:val="24"/>
        </w:rPr>
        <w:t xml:space="preserve">Ich habe die Erfahrung gemacht, dass es viele </w:t>
      </w:r>
      <w:proofErr w:type="spellStart"/>
      <w:r>
        <w:rPr>
          <w:rFonts w:cs="Arial"/>
          <w:szCs w:val="24"/>
        </w:rPr>
        <w:t>SuS</w:t>
      </w:r>
      <w:proofErr w:type="spellEnd"/>
      <w:r>
        <w:rPr>
          <w:rFonts w:cs="Arial"/>
          <w:szCs w:val="24"/>
        </w:rPr>
        <w:t xml:space="preserve"> gibt, die persönlich gestaltete </w:t>
      </w:r>
      <w:r w:rsidRPr="009D4540">
        <w:rPr>
          <w:rFonts w:cs="Arial"/>
          <w:b/>
          <w:szCs w:val="24"/>
        </w:rPr>
        <w:t>Tafelbilder</w:t>
      </w:r>
      <w:r>
        <w:rPr>
          <w:rFonts w:cs="Arial"/>
          <w:szCs w:val="24"/>
        </w:rPr>
        <w:t xml:space="preserve"> bevorzugen, </w:t>
      </w:r>
      <w:r w:rsidR="009D4540">
        <w:rPr>
          <w:rFonts w:cs="Arial"/>
          <w:szCs w:val="24"/>
        </w:rPr>
        <w:t>wenn es um das Vermitteln von Grundlagenwissen geht. Informationsblätter</w:t>
      </w:r>
      <w:r>
        <w:rPr>
          <w:rFonts w:cs="Arial"/>
          <w:szCs w:val="24"/>
        </w:rPr>
        <w:t xml:space="preserve"> </w:t>
      </w:r>
      <w:r w:rsidR="009D4540">
        <w:rPr>
          <w:rFonts w:cs="Arial"/>
          <w:szCs w:val="24"/>
        </w:rPr>
        <w:t xml:space="preserve">überfordern sie teilweise, da sie oftmals zu unübersichtlich gestaltet sind. Nachdem ich auch dazu neige, Arbeitsblätter mit zu viel „Wissen“ zu füllen, arbeite ich gerne mit der </w:t>
      </w:r>
      <w:r w:rsidR="009D4540" w:rsidRPr="00CD4119">
        <w:rPr>
          <w:rFonts w:cs="Arial"/>
          <w:b/>
          <w:szCs w:val="24"/>
        </w:rPr>
        <w:t xml:space="preserve">Tafel </w:t>
      </w:r>
      <w:r w:rsidR="009D4540">
        <w:rPr>
          <w:rFonts w:cs="Arial"/>
          <w:szCs w:val="24"/>
        </w:rPr>
        <w:t xml:space="preserve">und mit dem </w:t>
      </w:r>
      <w:r w:rsidR="009D4540" w:rsidRPr="00CD4119">
        <w:rPr>
          <w:rFonts w:cs="Arial"/>
          <w:b/>
          <w:szCs w:val="24"/>
        </w:rPr>
        <w:t>Flipchart</w:t>
      </w:r>
      <w:r w:rsidR="009D4540">
        <w:rPr>
          <w:rFonts w:cs="Arial"/>
          <w:szCs w:val="24"/>
        </w:rPr>
        <w:t xml:space="preserve">, da diese Medien nur „begrenzt“ beschriftet werden können. </w:t>
      </w:r>
    </w:p>
    <w:p w:rsidR="00885CE1" w:rsidRDefault="009D4540" w:rsidP="00885CE1">
      <w:pPr>
        <w:pStyle w:val="Listenabsatz"/>
        <w:numPr>
          <w:ilvl w:val="0"/>
          <w:numId w:val="0"/>
        </w:numPr>
        <w:rPr>
          <w:rFonts w:cs="Arial"/>
          <w:szCs w:val="24"/>
        </w:rPr>
      </w:pPr>
      <w:r w:rsidRPr="00CD4119">
        <w:rPr>
          <w:rFonts w:cs="Arial"/>
          <w:b/>
          <w:szCs w:val="24"/>
        </w:rPr>
        <w:t>Arbeitsblätter</w:t>
      </w:r>
      <w:r>
        <w:rPr>
          <w:rFonts w:cs="Arial"/>
          <w:szCs w:val="24"/>
        </w:rPr>
        <w:t xml:space="preserve"> setze ich meistens für die Vertiefung und Anwendung eines Themas ein,</w:t>
      </w:r>
      <w:r w:rsidR="00CD4119">
        <w:rPr>
          <w:rFonts w:cs="Arial"/>
          <w:szCs w:val="24"/>
        </w:rPr>
        <w:t xml:space="preserve"> da ich sie individuell nach meinen Lehr- und Lernzielen gestalten kann. </w:t>
      </w:r>
    </w:p>
    <w:p w:rsidR="00831590" w:rsidRDefault="00CD4119" w:rsidP="00831590">
      <w:pPr>
        <w:pStyle w:val="Listenabsatz"/>
        <w:numPr>
          <w:ilvl w:val="0"/>
          <w:numId w:val="0"/>
        </w:numPr>
        <w:rPr>
          <w:rFonts w:cs="Arial"/>
          <w:szCs w:val="24"/>
        </w:rPr>
      </w:pPr>
      <w:r>
        <w:rPr>
          <w:rFonts w:cs="Arial"/>
          <w:szCs w:val="24"/>
        </w:rPr>
        <w:t xml:space="preserve">Das </w:t>
      </w:r>
      <w:r w:rsidRPr="00CD4119">
        <w:rPr>
          <w:rFonts w:cs="Arial"/>
          <w:b/>
          <w:szCs w:val="24"/>
        </w:rPr>
        <w:t>Buch</w:t>
      </w:r>
      <w:r>
        <w:rPr>
          <w:rFonts w:cs="Arial"/>
          <w:szCs w:val="24"/>
        </w:rPr>
        <w:t xml:space="preserve"> setze ich immer wieder zur Ergänzung und Wiederholung eines Themas ein. Die </w:t>
      </w:r>
      <w:proofErr w:type="spellStart"/>
      <w:r>
        <w:rPr>
          <w:rFonts w:cs="Arial"/>
          <w:szCs w:val="24"/>
        </w:rPr>
        <w:t>SuS</w:t>
      </w:r>
      <w:proofErr w:type="spellEnd"/>
      <w:r>
        <w:rPr>
          <w:rFonts w:cs="Arial"/>
          <w:szCs w:val="24"/>
        </w:rPr>
        <w:t xml:space="preserve"> werden in ihrer Selbstständigkeit und Lesekompetenz gefördert, zudem lernen sie auch, Informationen zu filtern und aus zu wählen. Viele </w:t>
      </w:r>
      <w:proofErr w:type="spellStart"/>
      <w:r>
        <w:rPr>
          <w:rFonts w:cs="Arial"/>
          <w:szCs w:val="24"/>
        </w:rPr>
        <w:t>SuS</w:t>
      </w:r>
      <w:proofErr w:type="spellEnd"/>
      <w:r>
        <w:rPr>
          <w:rFonts w:cs="Arial"/>
          <w:szCs w:val="24"/>
        </w:rPr>
        <w:t xml:space="preserve"> haben auch bei der „Verwaltung“ ihrer Unterrichtsmaterialien Probleme, speziell wenn es um das Ordnen von Arbeitsblättern geht. Dies ist auch ein weiterer Punkt, warum ich das Buch im Unterricht als Medium einsetze. </w:t>
      </w:r>
    </w:p>
    <w:p w:rsidR="00CD4119" w:rsidRPr="00885CE1" w:rsidRDefault="00CD4119" w:rsidP="00CD4119">
      <w:pPr>
        <w:pStyle w:val="Listenabsatz"/>
        <w:numPr>
          <w:ilvl w:val="0"/>
          <w:numId w:val="0"/>
        </w:numPr>
        <w:spacing w:after="360"/>
        <w:contextualSpacing w:val="0"/>
        <w:rPr>
          <w:rFonts w:cs="Arial"/>
          <w:szCs w:val="24"/>
        </w:rPr>
      </w:pPr>
      <w:r>
        <w:rPr>
          <w:rFonts w:cs="Arial"/>
          <w:szCs w:val="24"/>
        </w:rPr>
        <w:t xml:space="preserve">Für die Überprüfung von Arbeitsaufgaben eignet sich der </w:t>
      </w:r>
      <w:proofErr w:type="spellStart"/>
      <w:r w:rsidRPr="00AD7FAB">
        <w:rPr>
          <w:rFonts w:cs="Arial"/>
          <w:b/>
          <w:szCs w:val="24"/>
        </w:rPr>
        <w:t>Beamer</w:t>
      </w:r>
      <w:proofErr w:type="spellEnd"/>
      <w:r>
        <w:rPr>
          <w:rFonts w:cs="Arial"/>
          <w:szCs w:val="24"/>
        </w:rPr>
        <w:t xml:space="preserve"> </w:t>
      </w:r>
      <w:r w:rsidR="00AD7FAB">
        <w:rPr>
          <w:rFonts w:cs="Arial"/>
          <w:szCs w:val="24"/>
        </w:rPr>
        <w:t xml:space="preserve">recht gut, vor allem wenn es um die reine Überprüfung geht (z. B. Zuordnungsaufgaben). Dies spart Zeit und die </w:t>
      </w:r>
      <w:proofErr w:type="spellStart"/>
      <w:r w:rsidR="00AD7FAB">
        <w:rPr>
          <w:rFonts w:cs="Arial"/>
          <w:szCs w:val="24"/>
        </w:rPr>
        <w:t>SuS</w:t>
      </w:r>
      <w:proofErr w:type="spellEnd"/>
      <w:r w:rsidR="00AD7FAB">
        <w:rPr>
          <w:rFonts w:cs="Arial"/>
          <w:szCs w:val="24"/>
        </w:rPr>
        <w:t xml:space="preserve"> können selbst überprüfen, ob sie die Aufgabe richtig gelöst haben. Zu begründende Aufgabenstellungen und Beispiele, die schülerindividuell beantwortet werden können, bespreche ich mit den </w:t>
      </w:r>
      <w:proofErr w:type="spellStart"/>
      <w:r w:rsidR="00AD7FAB">
        <w:rPr>
          <w:rFonts w:cs="Arial"/>
          <w:szCs w:val="24"/>
        </w:rPr>
        <w:t>SuS</w:t>
      </w:r>
      <w:proofErr w:type="spellEnd"/>
      <w:r w:rsidR="00AD7FAB">
        <w:rPr>
          <w:rFonts w:cs="Arial"/>
          <w:szCs w:val="24"/>
        </w:rPr>
        <w:t xml:space="preserve"> immer gemeinsam. </w:t>
      </w:r>
    </w:p>
    <w:p w:rsidR="003E5827" w:rsidRPr="00885CE1" w:rsidRDefault="00885CE1" w:rsidP="005B59C1">
      <w:pPr>
        <w:pStyle w:val="Listenabsatz"/>
        <w:numPr>
          <w:ilvl w:val="0"/>
          <w:numId w:val="31"/>
        </w:numPr>
        <w:ind w:left="340" w:hanging="340"/>
        <w:rPr>
          <w:rFonts w:cs="Arial"/>
          <w:b/>
          <w:szCs w:val="24"/>
        </w:rPr>
      </w:pPr>
      <w:r>
        <w:rPr>
          <w:rFonts w:cs="Arial"/>
          <w:b/>
          <w:szCs w:val="24"/>
        </w:rPr>
        <w:t xml:space="preserve">Auswahl der </w:t>
      </w:r>
      <w:r w:rsidR="003E5827" w:rsidRPr="00885CE1">
        <w:rPr>
          <w:rFonts w:cs="Arial"/>
          <w:b/>
          <w:szCs w:val="24"/>
        </w:rPr>
        <w:t>Sozialformen:</w:t>
      </w:r>
    </w:p>
    <w:p w:rsidR="006E5692" w:rsidRDefault="00D22C3E" w:rsidP="003E5827">
      <w:pPr>
        <w:rPr>
          <w:rFonts w:cs="Arial"/>
          <w:szCs w:val="24"/>
        </w:rPr>
      </w:pPr>
      <w:r>
        <w:rPr>
          <w:rFonts w:cs="Arial"/>
          <w:szCs w:val="24"/>
        </w:rPr>
        <w:t xml:space="preserve">Bei der Auswahl der Kommunikations- und Interaktionsebene habe ich mich für den </w:t>
      </w:r>
      <w:r w:rsidRPr="006E5692">
        <w:rPr>
          <w:rFonts w:cs="Arial"/>
          <w:b/>
          <w:szCs w:val="24"/>
        </w:rPr>
        <w:t>Klassenunterricht (Frontalunterricht),</w:t>
      </w:r>
      <w:r>
        <w:rPr>
          <w:rFonts w:cs="Arial"/>
          <w:szCs w:val="24"/>
        </w:rPr>
        <w:t xml:space="preserve"> </w:t>
      </w:r>
      <w:r w:rsidR="006E5692">
        <w:rPr>
          <w:rFonts w:cs="Arial"/>
          <w:szCs w:val="24"/>
        </w:rPr>
        <w:t xml:space="preserve">sowie für </w:t>
      </w:r>
      <w:r>
        <w:rPr>
          <w:rFonts w:cs="Arial"/>
          <w:szCs w:val="24"/>
        </w:rPr>
        <w:t xml:space="preserve">die </w:t>
      </w:r>
      <w:r w:rsidRPr="006E5692">
        <w:rPr>
          <w:rFonts w:cs="Arial"/>
          <w:b/>
          <w:szCs w:val="24"/>
        </w:rPr>
        <w:t>Partner- und Einzelarbeit</w:t>
      </w:r>
      <w:r>
        <w:rPr>
          <w:rFonts w:cs="Arial"/>
          <w:szCs w:val="24"/>
        </w:rPr>
        <w:t xml:space="preserve"> entschieden. </w:t>
      </w:r>
    </w:p>
    <w:p w:rsidR="00831590" w:rsidRDefault="00D22C3E" w:rsidP="003E5827">
      <w:pPr>
        <w:rPr>
          <w:rFonts w:cs="Arial"/>
          <w:szCs w:val="24"/>
        </w:rPr>
      </w:pPr>
      <w:r>
        <w:rPr>
          <w:rFonts w:cs="Arial"/>
          <w:szCs w:val="24"/>
        </w:rPr>
        <w:t xml:space="preserve">Für die Erarbeitung von Grundlagenwissen eignet sich der </w:t>
      </w:r>
      <w:r w:rsidRPr="006E5692">
        <w:rPr>
          <w:rFonts w:cs="Arial"/>
          <w:b/>
          <w:szCs w:val="24"/>
        </w:rPr>
        <w:t>Frontalunterricht</w:t>
      </w:r>
      <w:r>
        <w:rPr>
          <w:rFonts w:cs="Arial"/>
          <w:szCs w:val="24"/>
        </w:rPr>
        <w:t xml:space="preserve"> </w:t>
      </w:r>
      <w:r w:rsidR="00831590">
        <w:rPr>
          <w:rFonts w:cs="Arial"/>
          <w:szCs w:val="24"/>
        </w:rPr>
        <w:t>recht gut</w:t>
      </w:r>
      <w:r>
        <w:rPr>
          <w:rFonts w:cs="Arial"/>
          <w:szCs w:val="24"/>
        </w:rPr>
        <w:t xml:space="preserve">. Die </w:t>
      </w:r>
      <w:proofErr w:type="spellStart"/>
      <w:r>
        <w:rPr>
          <w:rFonts w:cs="Arial"/>
          <w:szCs w:val="24"/>
        </w:rPr>
        <w:t>SuS</w:t>
      </w:r>
      <w:proofErr w:type="spellEnd"/>
      <w:r>
        <w:rPr>
          <w:rFonts w:cs="Arial"/>
          <w:szCs w:val="24"/>
        </w:rPr>
        <w:t xml:space="preserve"> benötigen eine Basis und sollen auch eine Vorstellung erhalten, welche Themenbereiche bzw. welche Informationen relevant sind. </w:t>
      </w:r>
    </w:p>
    <w:p w:rsidR="006E5692" w:rsidRDefault="006E5692" w:rsidP="003E5827">
      <w:pPr>
        <w:rPr>
          <w:rFonts w:cs="Arial"/>
          <w:szCs w:val="24"/>
        </w:rPr>
      </w:pPr>
      <w:r>
        <w:rPr>
          <w:rFonts w:cs="Arial"/>
          <w:szCs w:val="24"/>
        </w:rPr>
        <w:lastRenderedPageBreak/>
        <w:t xml:space="preserve">Mein Ziel ist es ja auch, die </w:t>
      </w:r>
      <w:proofErr w:type="spellStart"/>
      <w:r>
        <w:rPr>
          <w:rFonts w:cs="Arial"/>
          <w:szCs w:val="24"/>
        </w:rPr>
        <w:t>SuS</w:t>
      </w:r>
      <w:proofErr w:type="spellEnd"/>
      <w:r>
        <w:rPr>
          <w:rFonts w:cs="Arial"/>
          <w:szCs w:val="24"/>
        </w:rPr>
        <w:t xml:space="preserve"> zu eigenständigem Denken und Handeln anzuregen – dies fällt den </w:t>
      </w:r>
      <w:proofErr w:type="spellStart"/>
      <w:r>
        <w:rPr>
          <w:rFonts w:cs="Arial"/>
          <w:szCs w:val="24"/>
        </w:rPr>
        <w:t>SuS</w:t>
      </w:r>
      <w:proofErr w:type="spellEnd"/>
      <w:r>
        <w:rPr>
          <w:rFonts w:cs="Arial"/>
          <w:szCs w:val="24"/>
        </w:rPr>
        <w:t xml:space="preserve"> zumeist leichter, wenn der Einstieg in das Thema geglückt ist, bzw. wenn die </w:t>
      </w:r>
      <w:proofErr w:type="spellStart"/>
      <w:r>
        <w:rPr>
          <w:rFonts w:cs="Arial"/>
          <w:szCs w:val="24"/>
        </w:rPr>
        <w:t>SuS</w:t>
      </w:r>
      <w:proofErr w:type="spellEnd"/>
      <w:r>
        <w:rPr>
          <w:rFonts w:cs="Arial"/>
          <w:szCs w:val="24"/>
        </w:rPr>
        <w:t xml:space="preserve"> eine Vorstellung davon erhalten haben. </w:t>
      </w:r>
    </w:p>
    <w:p w:rsidR="003E5827" w:rsidRDefault="006E5692" w:rsidP="003E5827">
      <w:pPr>
        <w:rPr>
          <w:rFonts w:cs="Arial"/>
          <w:szCs w:val="24"/>
        </w:rPr>
      </w:pPr>
      <w:r>
        <w:rPr>
          <w:rFonts w:cs="Arial"/>
          <w:szCs w:val="24"/>
        </w:rPr>
        <w:t xml:space="preserve">Nachdem Lernen über die Beziehungsebene sehr gut funktioniert, lasse ich die </w:t>
      </w:r>
      <w:proofErr w:type="spellStart"/>
      <w:r>
        <w:rPr>
          <w:rFonts w:cs="Arial"/>
          <w:szCs w:val="24"/>
        </w:rPr>
        <w:t>SuS</w:t>
      </w:r>
      <w:proofErr w:type="spellEnd"/>
      <w:r>
        <w:rPr>
          <w:rFonts w:cs="Arial"/>
          <w:szCs w:val="24"/>
        </w:rPr>
        <w:t xml:space="preserve"> auch in </w:t>
      </w:r>
      <w:r w:rsidRPr="006E5692">
        <w:rPr>
          <w:rFonts w:cs="Arial"/>
          <w:b/>
          <w:szCs w:val="24"/>
        </w:rPr>
        <w:t>Partnerarbeit</w:t>
      </w:r>
      <w:r>
        <w:rPr>
          <w:rFonts w:cs="Arial"/>
          <w:szCs w:val="24"/>
        </w:rPr>
        <w:t xml:space="preserve"> vertiefend Fallbeispiele lösen. Dies ermöglicht den Austausch und das Abgleichen von Informationen, die </w:t>
      </w:r>
      <w:proofErr w:type="spellStart"/>
      <w:r>
        <w:rPr>
          <w:rFonts w:cs="Arial"/>
          <w:szCs w:val="24"/>
        </w:rPr>
        <w:t>SuS</w:t>
      </w:r>
      <w:proofErr w:type="spellEnd"/>
      <w:r>
        <w:rPr>
          <w:rFonts w:cs="Arial"/>
          <w:szCs w:val="24"/>
        </w:rPr>
        <w:t xml:space="preserve"> können sich bei Verständnisschwierigkeiten untereinander helfen und gemeinsam nach einer Lösung suchen. Neben der Stärkung der Sozialkompetenz erfahren sie auch Anerkennung und Lob, was zur Stärkung des Selbstbewusstseins beiträgt. </w:t>
      </w:r>
    </w:p>
    <w:p w:rsidR="003E5827" w:rsidRPr="003B4DD5" w:rsidRDefault="006E5692" w:rsidP="00831590">
      <w:pPr>
        <w:spacing w:after="360"/>
        <w:rPr>
          <w:rFonts w:cs="Arial"/>
          <w:szCs w:val="24"/>
        </w:rPr>
      </w:pPr>
      <w:r>
        <w:rPr>
          <w:rFonts w:cs="Arial"/>
          <w:szCs w:val="24"/>
        </w:rPr>
        <w:t xml:space="preserve">Bei der persönlichen Gestaltung der Lernunterlagen ist es mir wichtig, dass die </w:t>
      </w:r>
      <w:proofErr w:type="spellStart"/>
      <w:r>
        <w:rPr>
          <w:rFonts w:cs="Arial"/>
          <w:szCs w:val="24"/>
        </w:rPr>
        <w:t>SuS</w:t>
      </w:r>
      <w:proofErr w:type="spellEnd"/>
      <w:r>
        <w:rPr>
          <w:rFonts w:cs="Arial"/>
          <w:szCs w:val="24"/>
        </w:rPr>
        <w:t xml:space="preserve"> ihrem Lernverhalten entsprechend die passende Form wählen können. </w:t>
      </w:r>
      <w:r w:rsidR="008C1184">
        <w:rPr>
          <w:rFonts w:cs="Arial"/>
          <w:szCs w:val="24"/>
        </w:rPr>
        <w:t xml:space="preserve">Im Zuge der </w:t>
      </w:r>
      <w:r w:rsidR="008C1184" w:rsidRPr="008C1184">
        <w:rPr>
          <w:rFonts w:cs="Arial"/>
          <w:b/>
          <w:szCs w:val="24"/>
        </w:rPr>
        <w:t>Einzelarbeit</w:t>
      </w:r>
      <w:r w:rsidR="008C1184">
        <w:rPr>
          <w:rFonts w:cs="Arial"/>
          <w:szCs w:val="24"/>
        </w:rPr>
        <w:t xml:space="preserve"> kann dies individuell abgestimmt werden und die </w:t>
      </w:r>
      <w:proofErr w:type="spellStart"/>
      <w:r w:rsidR="008C1184">
        <w:rPr>
          <w:rFonts w:cs="Arial"/>
          <w:szCs w:val="24"/>
        </w:rPr>
        <w:t>SuS</w:t>
      </w:r>
      <w:proofErr w:type="spellEnd"/>
      <w:r w:rsidR="008C1184">
        <w:rPr>
          <w:rFonts w:cs="Arial"/>
          <w:szCs w:val="24"/>
        </w:rPr>
        <w:t xml:space="preserve"> müssen sich nicht an eine bestimmte Form anpassen. Prinzipiell finde ich es auch sehr wichtig, dass die </w:t>
      </w:r>
      <w:proofErr w:type="spellStart"/>
      <w:r w:rsidR="008C1184">
        <w:rPr>
          <w:rFonts w:cs="Arial"/>
          <w:szCs w:val="24"/>
        </w:rPr>
        <w:t>SuS</w:t>
      </w:r>
      <w:proofErr w:type="spellEnd"/>
      <w:r w:rsidR="008C1184">
        <w:rPr>
          <w:rFonts w:cs="Arial"/>
          <w:szCs w:val="24"/>
        </w:rPr>
        <w:t xml:space="preserve"> lernen, eigenständig zu arbeiten und sich nicht überwiegend auf den Partner/ die Partnerin bzw. auf die Gruppe verlassen. Gewisse Aufgaben erfordern auch einen hohen Konzentrationsanteil, in solchen Fällen macht es durchaus Sinn, wenn die </w:t>
      </w:r>
      <w:proofErr w:type="spellStart"/>
      <w:r w:rsidR="008C1184">
        <w:rPr>
          <w:rFonts w:cs="Arial"/>
          <w:szCs w:val="24"/>
        </w:rPr>
        <w:t>SuS</w:t>
      </w:r>
      <w:proofErr w:type="spellEnd"/>
      <w:r w:rsidR="008C1184">
        <w:rPr>
          <w:rFonts w:cs="Arial"/>
          <w:szCs w:val="24"/>
        </w:rPr>
        <w:t xml:space="preserve"> für sich alleine arbeiten.</w:t>
      </w:r>
    </w:p>
    <w:p w:rsidR="00B37211" w:rsidRDefault="00B37211">
      <w:pPr>
        <w:spacing w:after="200" w:line="276" w:lineRule="auto"/>
        <w:rPr>
          <w:rFonts w:eastAsiaTheme="minorHAnsi" w:cs="Arial"/>
          <w:b/>
          <w:szCs w:val="24"/>
          <w:lang w:val="de-AT"/>
        </w:rPr>
      </w:pPr>
      <w:r>
        <w:rPr>
          <w:rFonts w:cs="Arial"/>
          <w:b/>
          <w:szCs w:val="24"/>
        </w:rPr>
        <w:br w:type="page"/>
      </w:r>
    </w:p>
    <w:p w:rsidR="003E5827" w:rsidRPr="00646365" w:rsidRDefault="003E5827" w:rsidP="005B59C1">
      <w:pPr>
        <w:pStyle w:val="Listenabsatz"/>
        <w:numPr>
          <w:ilvl w:val="0"/>
          <w:numId w:val="31"/>
        </w:numPr>
        <w:ind w:left="340" w:hanging="340"/>
        <w:rPr>
          <w:rFonts w:cs="Arial"/>
          <w:b/>
          <w:szCs w:val="24"/>
        </w:rPr>
      </w:pPr>
      <w:r w:rsidRPr="00646365">
        <w:rPr>
          <w:rFonts w:cs="Arial"/>
          <w:b/>
          <w:szCs w:val="24"/>
        </w:rPr>
        <w:lastRenderedPageBreak/>
        <w:t xml:space="preserve">Was kann ich tun, um die </w:t>
      </w:r>
      <w:proofErr w:type="spellStart"/>
      <w:r w:rsidR="00831590">
        <w:rPr>
          <w:rFonts w:cs="Arial"/>
          <w:b/>
          <w:szCs w:val="24"/>
        </w:rPr>
        <w:t>SuS</w:t>
      </w:r>
      <w:proofErr w:type="spellEnd"/>
      <w:r w:rsidRPr="00646365">
        <w:rPr>
          <w:rFonts w:cs="Arial"/>
          <w:b/>
          <w:szCs w:val="24"/>
        </w:rPr>
        <w:t xml:space="preserve"> im</w:t>
      </w:r>
      <w:r>
        <w:rPr>
          <w:rFonts w:cs="Arial"/>
          <w:b/>
          <w:szCs w:val="24"/>
        </w:rPr>
        <w:t xml:space="preserve"> Unterricht aktiver werden zu lass</w:t>
      </w:r>
      <w:r w:rsidRPr="00646365">
        <w:rPr>
          <w:rFonts w:cs="Arial"/>
          <w:b/>
          <w:szCs w:val="24"/>
        </w:rPr>
        <w:t>en? (</w:t>
      </w:r>
      <w:r w:rsidR="00885CE1">
        <w:rPr>
          <w:rFonts w:cs="Arial"/>
          <w:b/>
          <w:szCs w:val="24"/>
        </w:rPr>
        <w:t>Handlungsorientierung, Selbsttätigkeit, Selbststeuerung)</w:t>
      </w:r>
    </w:p>
    <w:tbl>
      <w:tblPr>
        <w:tblStyle w:val="Tabellenraster"/>
        <w:tblW w:w="9640" w:type="dxa"/>
        <w:tblInd w:w="-289" w:type="dxa"/>
        <w:tblLook w:val="04A0" w:firstRow="1" w:lastRow="0" w:firstColumn="1" w:lastColumn="0" w:noHBand="0" w:noVBand="1"/>
      </w:tblPr>
      <w:tblGrid>
        <w:gridCol w:w="9640"/>
      </w:tblGrid>
      <w:tr w:rsidR="003E5827" w:rsidRPr="00AE006F" w:rsidTr="00B37211">
        <w:trPr>
          <w:trHeight w:val="397"/>
        </w:trPr>
        <w:tc>
          <w:tcPr>
            <w:tcW w:w="9640" w:type="dxa"/>
            <w:shd w:val="clear" w:color="auto" w:fill="00B0F0"/>
            <w:vAlign w:val="center"/>
          </w:tcPr>
          <w:p w:rsidR="003E5827" w:rsidRPr="00AE006F" w:rsidRDefault="00AA6071" w:rsidP="00BF62C5">
            <w:pPr>
              <w:spacing w:after="0" w:line="240" w:lineRule="auto"/>
              <w:rPr>
                <w:rFonts w:cs="Arial"/>
                <w:b/>
                <w:szCs w:val="24"/>
              </w:rPr>
            </w:pPr>
            <w:r>
              <w:rPr>
                <w:rFonts w:cs="Arial"/>
                <w:b/>
                <w:szCs w:val="24"/>
              </w:rPr>
              <w:t>Geplante Vorgehensweise:</w:t>
            </w:r>
          </w:p>
        </w:tc>
      </w:tr>
      <w:tr w:rsidR="003E5827" w:rsidTr="00B37211">
        <w:trPr>
          <w:trHeight w:val="397"/>
        </w:trPr>
        <w:tc>
          <w:tcPr>
            <w:tcW w:w="9640" w:type="dxa"/>
            <w:vAlign w:val="center"/>
          </w:tcPr>
          <w:p w:rsidR="00831590" w:rsidRDefault="003E5827" w:rsidP="005908C7">
            <w:pPr>
              <w:spacing w:after="0" w:line="240" w:lineRule="auto"/>
              <w:rPr>
                <w:rFonts w:cs="Arial"/>
                <w:szCs w:val="24"/>
              </w:rPr>
            </w:pPr>
            <w:r>
              <w:rPr>
                <w:rFonts w:cs="Arial"/>
                <w:szCs w:val="24"/>
              </w:rPr>
              <w:t xml:space="preserve">Die </w:t>
            </w:r>
            <w:proofErr w:type="spellStart"/>
            <w:r w:rsidR="00AA6071">
              <w:rPr>
                <w:rFonts w:cs="Arial"/>
                <w:szCs w:val="24"/>
              </w:rPr>
              <w:t>SuS</w:t>
            </w:r>
            <w:proofErr w:type="spellEnd"/>
            <w:r>
              <w:rPr>
                <w:rFonts w:cs="Arial"/>
                <w:szCs w:val="24"/>
              </w:rPr>
              <w:t xml:space="preserve"> </w:t>
            </w:r>
            <w:r w:rsidR="00AA6071">
              <w:rPr>
                <w:rFonts w:cs="Arial"/>
                <w:szCs w:val="24"/>
              </w:rPr>
              <w:t xml:space="preserve">erhalten ein Arbeitsblatt mit einem Praxisbeispiel in Dialogform, zwei Schüler/Schülerinnen lesen den Sachverhalt vor. Im Anschluss </w:t>
            </w:r>
            <w:r>
              <w:rPr>
                <w:rFonts w:cs="Arial"/>
                <w:szCs w:val="24"/>
              </w:rPr>
              <w:t xml:space="preserve">erarbeiten </w:t>
            </w:r>
            <w:r w:rsidR="00AA6071">
              <w:rPr>
                <w:rFonts w:cs="Arial"/>
                <w:szCs w:val="24"/>
              </w:rPr>
              <w:t xml:space="preserve">wir </w:t>
            </w:r>
            <w:r>
              <w:rPr>
                <w:rFonts w:cs="Arial"/>
                <w:szCs w:val="24"/>
              </w:rPr>
              <w:t xml:space="preserve">gemeinsam </w:t>
            </w:r>
            <w:r w:rsidR="005908C7">
              <w:rPr>
                <w:rFonts w:cs="Arial"/>
                <w:szCs w:val="24"/>
              </w:rPr>
              <w:t>die wichtigsten Punkte des Fallbeispiels – Wiederholung des Inhaltes</w:t>
            </w:r>
            <w:r>
              <w:rPr>
                <w:rFonts w:cs="Arial"/>
                <w:szCs w:val="24"/>
              </w:rPr>
              <w:t xml:space="preserve">. </w:t>
            </w:r>
            <w:r w:rsidR="005908C7">
              <w:rPr>
                <w:rFonts w:cs="Arial"/>
                <w:szCs w:val="24"/>
              </w:rPr>
              <w:t xml:space="preserve">In einem weiteren Schritt gestalte ich zum Thema Gewährleistung ein Tafelbild und beziehe die </w:t>
            </w:r>
            <w:proofErr w:type="spellStart"/>
            <w:r w:rsidR="005908C7">
              <w:rPr>
                <w:rFonts w:cs="Arial"/>
                <w:szCs w:val="24"/>
              </w:rPr>
              <w:t>SuS</w:t>
            </w:r>
            <w:proofErr w:type="spellEnd"/>
            <w:r w:rsidR="005908C7">
              <w:rPr>
                <w:rFonts w:cs="Arial"/>
                <w:szCs w:val="24"/>
              </w:rPr>
              <w:t xml:space="preserve"> mit ein, indem ich immer wieder Querverbindungen zum Fallbeispiel ziehe und andere praktische Beispiele zur Veranschaulichung einbaue. </w:t>
            </w:r>
          </w:p>
          <w:p w:rsidR="00831590" w:rsidRDefault="005908C7" w:rsidP="005908C7">
            <w:pPr>
              <w:spacing w:after="0" w:line="240" w:lineRule="auto"/>
              <w:rPr>
                <w:rFonts w:cs="Arial"/>
                <w:szCs w:val="24"/>
              </w:rPr>
            </w:pPr>
            <w:r>
              <w:rPr>
                <w:rFonts w:cs="Arial"/>
                <w:szCs w:val="24"/>
              </w:rPr>
              <w:t xml:space="preserve">Das Einstiegsfallbeispiel wird dann abgewandelt, sodass es zu einem Garantiefall wird – Gestaltung eines Tafelbildes und Miteinbeziehung von Fallbeispielen. Im Anschluss übertragen die </w:t>
            </w:r>
            <w:proofErr w:type="spellStart"/>
            <w:r>
              <w:rPr>
                <w:rFonts w:cs="Arial"/>
                <w:szCs w:val="24"/>
              </w:rPr>
              <w:t>SuS</w:t>
            </w:r>
            <w:proofErr w:type="spellEnd"/>
            <w:r>
              <w:rPr>
                <w:rFonts w:cs="Arial"/>
                <w:szCs w:val="24"/>
              </w:rPr>
              <w:t xml:space="preserve"> die beiden Tafelbilder – ich stelle dafür buntes Papier zur Verfügung und gebe Gestaltungsanregungen. Die </w:t>
            </w:r>
            <w:proofErr w:type="spellStart"/>
            <w:r>
              <w:rPr>
                <w:rFonts w:cs="Arial"/>
                <w:szCs w:val="24"/>
              </w:rPr>
              <w:t>SuS</w:t>
            </w:r>
            <w:proofErr w:type="spellEnd"/>
            <w:r>
              <w:rPr>
                <w:rFonts w:cs="Arial"/>
                <w:szCs w:val="24"/>
              </w:rPr>
              <w:t xml:space="preserve"> können dies dann als Lernunterstützung einsetzen und sollen bei der Gestaltung darauf achten, dass sie die Infoblätter auch zum Lernen verwenden können. </w:t>
            </w:r>
            <w:proofErr w:type="spellStart"/>
            <w:r>
              <w:rPr>
                <w:rFonts w:cs="Arial"/>
                <w:szCs w:val="24"/>
              </w:rPr>
              <w:t>SuS</w:t>
            </w:r>
            <w:proofErr w:type="spellEnd"/>
            <w:r>
              <w:rPr>
                <w:rFonts w:cs="Arial"/>
                <w:szCs w:val="24"/>
              </w:rPr>
              <w:t xml:space="preserve">, die schon früher fertig sind, sollen das Kapitel im Buch durchlesen und etwaige Ergänzungen vornehmen. </w:t>
            </w:r>
          </w:p>
          <w:p w:rsidR="003E5827" w:rsidRDefault="005908C7" w:rsidP="005908C7">
            <w:pPr>
              <w:spacing w:after="0" w:line="240" w:lineRule="auto"/>
              <w:rPr>
                <w:rFonts w:cs="Arial"/>
                <w:szCs w:val="24"/>
              </w:rPr>
            </w:pPr>
            <w:r>
              <w:rPr>
                <w:rFonts w:cs="Arial"/>
                <w:szCs w:val="24"/>
              </w:rPr>
              <w:t xml:space="preserve">Vertiefend lösen die </w:t>
            </w:r>
            <w:proofErr w:type="spellStart"/>
            <w:r>
              <w:rPr>
                <w:rFonts w:cs="Arial"/>
                <w:szCs w:val="24"/>
              </w:rPr>
              <w:t>SuS</w:t>
            </w:r>
            <w:proofErr w:type="spellEnd"/>
            <w:r>
              <w:rPr>
                <w:rFonts w:cs="Arial"/>
                <w:szCs w:val="24"/>
              </w:rPr>
              <w:t xml:space="preserve"> in Partnerarbeit Anwendungsbeispiele und begründen diese – die Lösungen der Beispiele werden im Anschluss besprochen. </w:t>
            </w:r>
          </w:p>
          <w:p w:rsidR="003E5827" w:rsidRDefault="003E5827" w:rsidP="00831590">
            <w:pPr>
              <w:spacing w:line="240" w:lineRule="auto"/>
              <w:rPr>
                <w:rFonts w:cs="Arial"/>
                <w:szCs w:val="24"/>
              </w:rPr>
            </w:pPr>
            <w:r>
              <w:rPr>
                <w:rFonts w:cs="Arial"/>
                <w:szCs w:val="24"/>
              </w:rPr>
              <w:t>A</w:t>
            </w:r>
            <w:r w:rsidR="005908C7">
              <w:rPr>
                <w:rFonts w:cs="Arial"/>
                <w:szCs w:val="24"/>
              </w:rPr>
              <w:t xml:space="preserve">m Ende folgt der Wissenscheck anhand eines Kurzvideos. </w:t>
            </w:r>
            <w:r>
              <w:rPr>
                <w:rFonts w:cs="Arial"/>
                <w:szCs w:val="24"/>
              </w:rPr>
              <w:t xml:space="preserve">Die </w:t>
            </w:r>
            <w:proofErr w:type="spellStart"/>
            <w:r>
              <w:rPr>
                <w:rFonts w:cs="Arial"/>
                <w:szCs w:val="24"/>
              </w:rPr>
              <w:t>SuS</w:t>
            </w:r>
            <w:proofErr w:type="spellEnd"/>
            <w:r>
              <w:rPr>
                <w:rFonts w:cs="Arial"/>
                <w:szCs w:val="24"/>
              </w:rPr>
              <w:t xml:space="preserve"> bekommen verschiedene Fragen zum Inhalt de</w:t>
            </w:r>
            <w:r w:rsidR="005908C7">
              <w:rPr>
                <w:rFonts w:cs="Arial"/>
                <w:szCs w:val="24"/>
              </w:rPr>
              <w:t>s Films, welcher auch dem Inhalt der Unterrichtseinheit entspricht.</w:t>
            </w:r>
          </w:p>
        </w:tc>
      </w:tr>
      <w:tr w:rsidR="003E5827" w:rsidRPr="00AE006F" w:rsidTr="00B37211">
        <w:trPr>
          <w:trHeight w:val="397"/>
        </w:trPr>
        <w:tc>
          <w:tcPr>
            <w:tcW w:w="9640" w:type="dxa"/>
            <w:shd w:val="clear" w:color="auto" w:fill="00B0F0"/>
            <w:vAlign w:val="center"/>
          </w:tcPr>
          <w:p w:rsidR="003E5827" w:rsidRPr="00AE006F" w:rsidRDefault="003E5827" w:rsidP="00BF62C5">
            <w:pPr>
              <w:spacing w:after="0" w:line="240" w:lineRule="auto"/>
              <w:rPr>
                <w:rFonts w:cs="Arial"/>
                <w:b/>
                <w:szCs w:val="24"/>
              </w:rPr>
            </w:pPr>
            <w:r w:rsidRPr="00AE006F">
              <w:rPr>
                <w:rFonts w:cs="Arial"/>
                <w:b/>
                <w:szCs w:val="24"/>
              </w:rPr>
              <w:t>Variante 1:</w:t>
            </w:r>
          </w:p>
        </w:tc>
      </w:tr>
      <w:tr w:rsidR="003E5827" w:rsidTr="00B37211">
        <w:trPr>
          <w:trHeight w:val="397"/>
        </w:trPr>
        <w:tc>
          <w:tcPr>
            <w:tcW w:w="9640" w:type="dxa"/>
            <w:vAlign w:val="center"/>
          </w:tcPr>
          <w:p w:rsidR="003E5827" w:rsidRDefault="00844065" w:rsidP="00831590">
            <w:pPr>
              <w:spacing w:line="240" w:lineRule="auto"/>
              <w:rPr>
                <w:rFonts w:cs="Arial"/>
                <w:szCs w:val="24"/>
              </w:rPr>
            </w:pPr>
            <w:r>
              <w:rPr>
                <w:rFonts w:cs="Arial"/>
                <w:szCs w:val="24"/>
              </w:rPr>
              <w:t>Den lehrerzentrierten Teil (Erarbeitung der Inhalte</w:t>
            </w:r>
            <w:r w:rsidRPr="00844065">
              <w:rPr>
                <w:rFonts w:cs="Arial"/>
                <w:szCs w:val="24"/>
              </w:rPr>
              <w:sym w:font="Wingdings" w:char="F0E0"/>
            </w:r>
            <w:r>
              <w:rPr>
                <w:rFonts w:cs="Arial"/>
                <w:szCs w:val="24"/>
              </w:rPr>
              <w:t xml:space="preserve"> Tafelbild) durch ein Arbeitsblatt, welches die </w:t>
            </w:r>
            <w:proofErr w:type="spellStart"/>
            <w:r>
              <w:rPr>
                <w:rFonts w:cs="Arial"/>
                <w:szCs w:val="24"/>
              </w:rPr>
              <w:t>SuS</w:t>
            </w:r>
            <w:proofErr w:type="spellEnd"/>
            <w:r>
              <w:rPr>
                <w:rFonts w:cs="Arial"/>
                <w:szCs w:val="24"/>
              </w:rPr>
              <w:t xml:space="preserve"> selbst durchlesen, ersetzen. Die </w:t>
            </w:r>
            <w:proofErr w:type="spellStart"/>
            <w:r>
              <w:rPr>
                <w:rFonts w:cs="Arial"/>
                <w:szCs w:val="24"/>
              </w:rPr>
              <w:t>SuS</w:t>
            </w:r>
            <w:proofErr w:type="spellEnd"/>
            <w:r>
              <w:rPr>
                <w:rFonts w:cs="Arial"/>
                <w:szCs w:val="24"/>
              </w:rPr>
              <w:t xml:space="preserve"> sollen wesentliche Merkmale markieren, im Anschluss werden dann die wichtigsten Punkte besprochen und gegebenenfalls erklärt. Anstelle des Arbeitsblattes kann auch mit dem Buch gearbeitet werden.</w:t>
            </w:r>
          </w:p>
        </w:tc>
      </w:tr>
      <w:tr w:rsidR="003E5827" w:rsidRPr="00AE006F" w:rsidTr="00B37211">
        <w:trPr>
          <w:trHeight w:val="397"/>
        </w:trPr>
        <w:tc>
          <w:tcPr>
            <w:tcW w:w="9640" w:type="dxa"/>
            <w:shd w:val="clear" w:color="auto" w:fill="00B0F0"/>
            <w:vAlign w:val="center"/>
          </w:tcPr>
          <w:p w:rsidR="003E5827" w:rsidRPr="00AE006F" w:rsidRDefault="003E5827" w:rsidP="00BF62C5">
            <w:pPr>
              <w:spacing w:after="0" w:line="240" w:lineRule="auto"/>
              <w:rPr>
                <w:rFonts w:cs="Arial"/>
                <w:b/>
                <w:szCs w:val="24"/>
              </w:rPr>
            </w:pPr>
            <w:r w:rsidRPr="00AE006F">
              <w:rPr>
                <w:rFonts w:cs="Arial"/>
                <w:b/>
                <w:szCs w:val="24"/>
              </w:rPr>
              <w:t>Variante 2:</w:t>
            </w:r>
          </w:p>
        </w:tc>
      </w:tr>
      <w:tr w:rsidR="003E5827" w:rsidTr="00B37211">
        <w:trPr>
          <w:trHeight w:val="397"/>
        </w:trPr>
        <w:tc>
          <w:tcPr>
            <w:tcW w:w="9640" w:type="dxa"/>
            <w:vAlign w:val="center"/>
          </w:tcPr>
          <w:p w:rsidR="003E5827" w:rsidRDefault="00844065" w:rsidP="00A269B8">
            <w:pPr>
              <w:spacing w:line="240" w:lineRule="auto"/>
              <w:rPr>
                <w:rFonts w:cs="Arial"/>
                <w:szCs w:val="24"/>
              </w:rPr>
            </w:pPr>
            <w:r>
              <w:rPr>
                <w:rFonts w:cs="Arial"/>
                <w:szCs w:val="24"/>
              </w:rPr>
              <w:t>Nachdem die wesentlichen Punkte des Themas besprochen wurden, kann vertiefend mit dem Buch gearbeitet werden. Zwei oder drei wichtige Punkte w</w:t>
            </w:r>
            <w:r w:rsidR="001B73EF">
              <w:rPr>
                <w:rFonts w:cs="Arial"/>
                <w:szCs w:val="24"/>
              </w:rPr>
              <w:t>e</w:t>
            </w:r>
            <w:r>
              <w:rPr>
                <w:rFonts w:cs="Arial"/>
                <w:szCs w:val="24"/>
              </w:rPr>
              <w:t xml:space="preserve">rden </w:t>
            </w:r>
            <w:r w:rsidR="001B73EF">
              <w:rPr>
                <w:rFonts w:cs="Arial"/>
                <w:szCs w:val="24"/>
              </w:rPr>
              <w:t xml:space="preserve">bei der Erarbeitung des Themas </w:t>
            </w:r>
            <w:r>
              <w:rPr>
                <w:rFonts w:cs="Arial"/>
                <w:szCs w:val="24"/>
              </w:rPr>
              <w:t xml:space="preserve">bewusst weggelassen, die </w:t>
            </w:r>
            <w:proofErr w:type="spellStart"/>
            <w:r>
              <w:rPr>
                <w:rFonts w:cs="Arial"/>
                <w:szCs w:val="24"/>
              </w:rPr>
              <w:t>SuS</w:t>
            </w:r>
            <w:proofErr w:type="spellEnd"/>
            <w:r>
              <w:rPr>
                <w:rFonts w:cs="Arial"/>
                <w:szCs w:val="24"/>
              </w:rPr>
              <w:t xml:space="preserve"> sollen diese fehlenden Informationen mit Hilfe ihres Buches ergänzen. Die gemeinsame Kontrolle erfolgt im Anschluss. </w:t>
            </w:r>
          </w:p>
        </w:tc>
      </w:tr>
      <w:tr w:rsidR="003E5827" w:rsidRPr="00AE006F" w:rsidTr="00B37211">
        <w:trPr>
          <w:trHeight w:val="397"/>
        </w:trPr>
        <w:tc>
          <w:tcPr>
            <w:tcW w:w="9640" w:type="dxa"/>
            <w:shd w:val="clear" w:color="auto" w:fill="00B0F0"/>
            <w:vAlign w:val="center"/>
          </w:tcPr>
          <w:p w:rsidR="003E5827" w:rsidRPr="00AE006F" w:rsidRDefault="003E5827" w:rsidP="00BF62C5">
            <w:pPr>
              <w:spacing w:after="0" w:line="240" w:lineRule="auto"/>
              <w:rPr>
                <w:rFonts w:cs="Arial"/>
                <w:b/>
                <w:szCs w:val="24"/>
              </w:rPr>
            </w:pPr>
            <w:r w:rsidRPr="00AE006F">
              <w:rPr>
                <w:rFonts w:cs="Arial"/>
                <w:b/>
                <w:szCs w:val="24"/>
              </w:rPr>
              <w:t>Variante 3:</w:t>
            </w:r>
          </w:p>
        </w:tc>
      </w:tr>
      <w:tr w:rsidR="003E5827" w:rsidTr="00B37211">
        <w:trPr>
          <w:trHeight w:val="397"/>
        </w:trPr>
        <w:tc>
          <w:tcPr>
            <w:tcW w:w="9640" w:type="dxa"/>
            <w:vAlign w:val="center"/>
          </w:tcPr>
          <w:p w:rsidR="003E5827" w:rsidRDefault="00844065" w:rsidP="00A269B8">
            <w:pPr>
              <w:spacing w:line="240" w:lineRule="auto"/>
              <w:rPr>
                <w:rFonts w:cs="Arial"/>
                <w:szCs w:val="24"/>
              </w:rPr>
            </w:pPr>
            <w:r>
              <w:rPr>
                <w:rFonts w:cs="Arial"/>
                <w:szCs w:val="24"/>
              </w:rPr>
              <w:t xml:space="preserve">Die </w:t>
            </w:r>
            <w:proofErr w:type="spellStart"/>
            <w:r>
              <w:rPr>
                <w:rFonts w:cs="Arial"/>
                <w:szCs w:val="24"/>
              </w:rPr>
              <w:t>SuS</w:t>
            </w:r>
            <w:proofErr w:type="spellEnd"/>
            <w:r>
              <w:rPr>
                <w:rFonts w:cs="Arial"/>
                <w:szCs w:val="24"/>
              </w:rPr>
              <w:t xml:space="preserve"> erfinden in Partnerarbeit praxisbezogene Beispiele und formulieren eine oder zwei Fragen dazu. Diese werden im Anschluss </w:t>
            </w:r>
            <w:r w:rsidR="001B73EF">
              <w:rPr>
                <w:rFonts w:cs="Arial"/>
                <w:szCs w:val="24"/>
              </w:rPr>
              <w:t>mit einer anderen Gruppe ausgetauscht und gelöst. Die beiden Gruppen setzen sich danach zusammen und besprechen die Lösung.</w:t>
            </w:r>
          </w:p>
        </w:tc>
      </w:tr>
      <w:tr w:rsidR="001B73EF" w:rsidRPr="00AE006F" w:rsidTr="00B37211">
        <w:trPr>
          <w:trHeight w:val="397"/>
        </w:trPr>
        <w:tc>
          <w:tcPr>
            <w:tcW w:w="9640" w:type="dxa"/>
            <w:shd w:val="clear" w:color="auto" w:fill="00B0F0"/>
            <w:vAlign w:val="center"/>
          </w:tcPr>
          <w:p w:rsidR="001B73EF" w:rsidRPr="00AE006F" w:rsidRDefault="001B73EF" w:rsidP="00BF62C5">
            <w:pPr>
              <w:spacing w:after="0" w:line="240" w:lineRule="auto"/>
              <w:rPr>
                <w:rFonts w:cs="Arial"/>
                <w:b/>
                <w:szCs w:val="24"/>
              </w:rPr>
            </w:pPr>
            <w:r>
              <w:rPr>
                <w:rFonts w:cs="Arial"/>
                <w:b/>
                <w:szCs w:val="24"/>
              </w:rPr>
              <w:t>Variante</w:t>
            </w:r>
            <w:r w:rsidR="004E716E">
              <w:rPr>
                <w:rFonts w:cs="Arial"/>
                <w:b/>
                <w:szCs w:val="24"/>
              </w:rPr>
              <w:t xml:space="preserve"> 4</w:t>
            </w:r>
            <w:r>
              <w:rPr>
                <w:rFonts w:cs="Arial"/>
                <w:b/>
                <w:szCs w:val="24"/>
              </w:rPr>
              <w:t>:</w:t>
            </w:r>
          </w:p>
        </w:tc>
      </w:tr>
      <w:tr w:rsidR="003E5827" w:rsidTr="00B37211">
        <w:trPr>
          <w:trHeight w:val="795"/>
        </w:trPr>
        <w:tc>
          <w:tcPr>
            <w:tcW w:w="9640" w:type="dxa"/>
            <w:vAlign w:val="center"/>
          </w:tcPr>
          <w:p w:rsidR="003E5827" w:rsidRDefault="001B73EF" w:rsidP="00A269B8">
            <w:pPr>
              <w:spacing w:line="240" w:lineRule="auto"/>
              <w:rPr>
                <w:rFonts w:cs="Arial"/>
                <w:szCs w:val="24"/>
              </w:rPr>
            </w:pPr>
            <w:r>
              <w:rPr>
                <w:rFonts w:cs="Arial"/>
                <w:szCs w:val="24"/>
              </w:rPr>
              <w:t xml:space="preserve">Die </w:t>
            </w:r>
            <w:proofErr w:type="spellStart"/>
            <w:r>
              <w:rPr>
                <w:rFonts w:cs="Arial"/>
                <w:szCs w:val="24"/>
              </w:rPr>
              <w:t>SuS</w:t>
            </w:r>
            <w:proofErr w:type="spellEnd"/>
            <w:r>
              <w:rPr>
                <w:rFonts w:cs="Arial"/>
                <w:szCs w:val="24"/>
              </w:rPr>
              <w:t xml:space="preserve"> bilden Dreiergruppen und ziehen eine Karte Darauf befinden sich diverse Informationen (welches </w:t>
            </w:r>
            <w:proofErr w:type="gramStart"/>
            <w:r>
              <w:rPr>
                <w:rFonts w:cs="Arial"/>
                <w:szCs w:val="24"/>
              </w:rPr>
              <w:t>Produkt?,</w:t>
            </w:r>
            <w:proofErr w:type="gramEnd"/>
            <w:r>
              <w:rPr>
                <w:rFonts w:cs="Arial"/>
                <w:szCs w:val="24"/>
              </w:rPr>
              <w:t xml:space="preserve"> welcher Mangel?, Forderung des Käufers/der Käuferin, …)</w:t>
            </w:r>
            <w:r w:rsidR="00A269B8" w:rsidRPr="00A269B8">
              <w:rPr>
                <w:rFonts w:cs="Arial"/>
                <w:szCs w:val="24"/>
              </w:rPr>
              <w:sym w:font="Wingdings" w:char="F0E0"/>
            </w:r>
            <w:r w:rsidR="00A269B8">
              <w:rPr>
                <w:rFonts w:cs="Arial"/>
                <w:szCs w:val="24"/>
              </w:rPr>
              <w:t xml:space="preserve"> diese bilden die Grundlage für den Entwurf eines Fallbeispiels. Die </w:t>
            </w:r>
            <w:proofErr w:type="spellStart"/>
            <w:r w:rsidR="00A269B8">
              <w:rPr>
                <w:rFonts w:cs="Arial"/>
                <w:szCs w:val="24"/>
              </w:rPr>
              <w:t>SuS</w:t>
            </w:r>
            <w:proofErr w:type="spellEnd"/>
            <w:r w:rsidR="00A269B8">
              <w:rPr>
                <w:rFonts w:cs="Arial"/>
                <w:szCs w:val="24"/>
              </w:rPr>
              <w:t xml:space="preserve"> sollen ihr Beispiel dann im Form eines Rollenspiels vorstellen.</w:t>
            </w:r>
          </w:p>
        </w:tc>
      </w:tr>
    </w:tbl>
    <w:p w:rsidR="007F6AB4" w:rsidRPr="00B37211" w:rsidRDefault="007F6AB4" w:rsidP="005B59C1">
      <w:pPr>
        <w:jc w:val="both"/>
        <w:rPr>
          <w:b/>
          <w:sz w:val="28"/>
        </w:rPr>
      </w:pPr>
      <w:r w:rsidRPr="00B37211">
        <w:rPr>
          <w:b/>
          <w:sz w:val="28"/>
        </w:rPr>
        <w:lastRenderedPageBreak/>
        <w:t>Literaturverzeichnis:</w:t>
      </w:r>
    </w:p>
    <w:p w:rsidR="004E716E" w:rsidRDefault="004E716E" w:rsidP="004E716E">
      <w:r>
        <w:rPr>
          <w:noProof/>
        </w:rPr>
        <w:t xml:space="preserve">Arbeiterkammer Wien. (2016). Reklamation-Ihr Recht auf Gewährleistung. Abgerufen am 15. Oktober 2016 von </w:t>
      </w:r>
      <w:r w:rsidR="00B37211" w:rsidRPr="00B37211">
        <w:t>https://wien.arbeiterkammer.at/beratung/konsumentenschutz/einkaufundrecht/Gewaehrleistung.html</w:t>
      </w:r>
    </w:p>
    <w:p w:rsidR="00B37211" w:rsidRDefault="00B37211" w:rsidP="004E716E">
      <w:r>
        <w:t xml:space="preserve">Bundeskanzleramt Rechtsinformationssystem. (2016). Konsumentenschutz. Abgerufen am 17. Oktober 2016 von </w:t>
      </w:r>
      <w:r w:rsidRPr="00B37211">
        <w:t>https://www.ris.bka.gv.at/Dokument.wxe?Abfrage=Bundesnormen&amp;Dokumentnummer=NOR40018137</w:t>
      </w:r>
    </w:p>
    <w:p w:rsidR="00B37211" w:rsidRDefault="004E716E" w:rsidP="00B37211">
      <w:r>
        <w:rPr>
          <w:noProof/>
        </w:rPr>
        <w:t xml:space="preserve">Jusline.at. (2016). </w:t>
      </w:r>
      <w:r w:rsidR="00B37211">
        <w:rPr>
          <w:noProof/>
        </w:rPr>
        <w:t xml:space="preserve">Gewährleistung. Abgerufen am 17. Oktober 2016 von </w:t>
      </w:r>
      <w:r w:rsidR="00B37211" w:rsidRPr="00B37211">
        <w:t>https://www.jusline.at/922_Gew%C3%A4hrleistung_ABGB.html</w:t>
      </w:r>
    </w:p>
    <w:p w:rsidR="004E716E" w:rsidRDefault="00B37211" w:rsidP="00B37211">
      <w:r>
        <w:rPr>
          <w:noProof/>
        </w:rPr>
        <w:t xml:space="preserve">Jusline.at. (2016). Vertragliche Garantie. Abgerufen am 17. Oktober 2016 von Jusline.at. (2016). Gewährleistung. Abgerufen am 17. Oktober 2016 von </w:t>
      </w:r>
      <w:r w:rsidRPr="00B37211">
        <w:t>https://www.jusline.at/922_Gew%C3%A4hrleistung_ABGB.html</w:t>
      </w:r>
    </w:p>
    <w:p w:rsidR="004E716E" w:rsidRPr="004E716E" w:rsidRDefault="004E716E" w:rsidP="004E716E">
      <w:pPr>
        <w:jc w:val="both"/>
        <w:rPr>
          <w:rFonts w:cstheme="minorBidi"/>
          <w:noProof/>
        </w:rPr>
      </w:pPr>
      <w:r w:rsidRPr="00F51698">
        <w:rPr>
          <w:rFonts w:cstheme="minorBidi"/>
          <w:noProof/>
        </w:rPr>
        <w:t>Kolba, P</w:t>
      </w:r>
      <w:r>
        <w:rPr>
          <w:rFonts w:cstheme="minorBidi"/>
          <w:noProof/>
        </w:rPr>
        <w:t xml:space="preserve">., </w:t>
      </w:r>
      <w:r w:rsidRPr="00F51698">
        <w:rPr>
          <w:rFonts w:cstheme="minorBidi"/>
          <w:noProof/>
        </w:rPr>
        <w:t>Resetarits, P</w:t>
      </w:r>
      <w:r>
        <w:rPr>
          <w:rFonts w:cstheme="minorBidi"/>
          <w:noProof/>
        </w:rPr>
        <w:t xml:space="preserve">., </w:t>
      </w:r>
      <w:r w:rsidRPr="00F51698">
        <w:rPr>
          <w:rFonts w:cstheme="minorBidi"/>
          <w:noProof/>
        </w:rPr>
        <w:t>Weiser, N</w:t>
      </w:r>
      <w:r>
        <w:rPr>
          <w:rFonts w:cstheme="minorBidi"/>
          <w:noProof/>
        </w:rPr>
        <w:t>. (2011). Mein großer Rechts-Berater</w:t>
      </w:r>
      <w:r w:rsidRPr="00F51698">
        <w:rPr>
          <w:rFonts w:cstheme="minorBidi"/>
          <w:noProof/>
        </w:rPr>
        <w:t xml:space="preserve"> </w:t>
      </w:r>
      <w:r>
        <w:rPr>
          <w:rFonts w:cstheme="minorBidi"/>
          <w:noProof/>
        </w:rPr>
        <w:t>(</w:t>
      </w:r>
      <w:r w:rsidRPr="00F51698">
        <w:rPr>
          <w:rFonts w:cstheme="minorBidi"/>
          <w:noProof/>
        </w:rPr>
        <w:t xml:space="preserve">4. </w:t>
      </w:r>
      <w:r>
        <w:rPr>
          <w:rFonts w:cstheme="minorBidi"/>
          <w:noProof/>
        </w:rPr>
        <w:t>Auflage</w:t>
      </w:r>
      <w:r>
        <w:rPr>
          <w:rFonts w:cstheme="minorBidi"/>
          <w:noProof/>
          <w:sz w:val="26"/>
        </w:rPr>
        <w:t>)</w:t>
      </w:r>
      <w:r w:rsidRPr="00F51698">
        <w:rPr>
          <w:rFonts w:cstheme="minorBidi"/>
          <w:noProof/>
        </w:rPr>
        <w:t xml:space="preserve">. </w:t>
      </w:r>
      <w:r>
        <w:rPr>
          <w:rFonts w:cstheme="minorBidi"/>
          <w:noProof/>
        </w:rPr>
        <w:t xml:space="preserve">Wien: </w:t>
      </w:r>
      <w:r w:rsidRPr="00F51698">
        <w:rPr>
          <w:rFonts w:cstheme="minorBidi"/>
          <w:noProof/>
        </w:rPr>
        <w:t>Linde Verlag</w:t>
      </w:r>
      <w:r>
        <w:rPr>
          <w:rFonts w:cstheme="minorBidi"/>
          <w:noProof/>
        </w:rPr>
        <w:t>.</w:t>
      </w:r>
    </w:p>
    <w:p w:rsidR="00B96800" w:rsidRDefault="004E716E" w:rsidP="00375959">
      <w:r>
        <w:rPr>
          <w:noProof/>
        </w:rPr>
        <w:t xml:space="preserve">Wirtschaftskammer Österreich. (2016). Gewährleistung-Garantie-Schadenersatz-Produkthaftung. Abgerufen am 17. Oktober 2016 von </w:t>
      </w:r>
      <w:hyperlink r:id="rId14" w:history="1">
        <w:r w:rsidR="00B96800" w:rsidRPr="0088123A">
          <w:rPr>
            <w:rStyle w:val="Hyperlink"/>
          </w:rPr>
          <w:t>http://bit.ly/2fY12tv</w:t>
        </w:r>
      </w:hyperlink>
    </w:p>
    <w:p w:rsidR="00B96800" w:rsidRDefault="00B96800">
      <w:pPr>
        <w:spacing w:after="200" w:line="276" w:lineRule="auto"/>
      </w:pPr>
      <w:r>
        <w:br w:type="page"/>
      </w:r>
    </w:p>
    <w:p w:rsidR="00B96800" w:rsidRDefault="00B96800" w:rsidP="00B96800">
      <w:pPr>
        <w:tabs>
          <w:tab w:val="left" w:pos="2694"/>
        </w:tabs>
        <w:rPr>
          <w:rFonts w:cs="Arial"/>
          <w:b/>
          <w:szCs w:val="24"/>
        </w:rPr>
      </w:pPr>
    </w:p>
    <w:p w:rsidR="00B96800" w:rsidRPr="005C438F" w:rsidRDefault="00B96800" w:rsidP="00B96800">
      <w:pPr>
        <w:jc w:val="center"/>
        <w:rPr>
          <w:rFonts w:cs="Arial"/>
          <w:sz w:val="44"/>
          <w:szCs w:val="24"/>
        </w:rPr>
      </w:pPr>
      <w:r w:rsidRPr="005C438F">
        <w:rPr>
          <w:rFonts w:cs="Arial"/>
          <w:sz w:val="44"/>
          <w:szCs w:val="24"/>
        </w:rPr>
        <w:t>Erklärung</w:t>
      </w:r>
    </w:p>
    <w:p w:rsidR="00B96800" w:rsidRPr="005C438F" w:rsidRDefault="00B96800" w:rsidP="00B96800">
      <w:pPr>
        <w:rPr>
          <w:rFonts w:cs="Arial"/>
          <w:szCs w:val="24"/>
        </w:rPr>
      </w:pPr>
    </w:p>
    <w:p w:rsidR="00B96800" w:rsidRPr="005C438F" w:rsidRDefault="00584FEA" w:rsidP="00B96800">
      <w:pPr>
        <w:rPr>
          <w:rFonts w:cs="Arial"/>
          <w:szCs w:val="24"/>
        </w:rPr>
      </w:pPr>
      <w:r>
        <w:rPr>
          <w:rFonts w:cs="Arial"/>
          <w:szCs w:val="24"/>
        </w:rPr>
        <w:t xml:space="preserve">Ich, </w:t>
      </w:r>
      <w:bookmarkStart w:id="0" w:name="_GoBack"/>
      <w:bookmarkEnd w:id="0"/>
      <w:r w:rsidR="00B96800">
        <w:rPr>
          <w:rFonts w:cs="Arial"/>
          <w:szCs w:val="24"/>
        </w:rPr>
        <w:t xml:space="preserve">Mag. </w:t>
      </w:r>
      <w:r w:rsidR="00B96800" w:rsidRPr="005F4E62">
        <w:rPr>
          <w:rFonts w:cs="Arial"/>
          <w:b/>
          <w:szCs w:val="24"/>
        </w:rPr>
        <w:t xml:space="preserve">Carmen </w:t>
      </w:r>
      <w:proofErr w:type="spellStart"/>
      <w:r w:rsidR="00B96800" w:rsidRPr="005F4E62">
        <w:rPr>
          <w:rFonts w:cs="Arial"/>
          <w:b/>
          <w:szCs w:val="24"/>
        </w:rPr>
        <w:t>Thummer</w:t>
      </w:r>
      <w:proofErr w:type="spellEnd"/>
      <w:r w:rsidR="00B96800" w:rsidRPr="005C438F">
        <w:rPr>
          <w:rFonts w:cs="Arial"/>
          <w:szCs w:val="24"/>
        </w:rPr>
        <w:t xml:space="preserve"> erkläre,</w:t>
      </w:r>
    </w:p>
    <w:p w:rsidR="00B96800" w:rsidRPr="005C438F" w:rsidRDefault="00B96800" w:rsidP="00B96800">
      <w:pPr>
        <w:rPr>
          <w:rFonts w:cs="Arial"/>
          <w:szCs w:val="24"/>
        </w:rPr>
      </w:pPr>
    </w:p>
    <w:p w:rsidR="00B96800" w:rsidRPr="005C438F" w:rsidRDefault="00B96800" w:rsidP="00B96800">
      <w:pPr>
        <w:rPr>
          <w:rFonts w:cs="Arial"/>
          <w:szCs w:val="24"/>
        </w:rPr>
      </w:pPr>
      <w:r w:rsidRPr="005C438F">
        <w:rPr>
          <w:rFonts w:cs="Arial"/>
          <w:szCs w:val="24"/>
        </w:rPr>
        <w:t xml:space="preserve">dass ich die vorgelegte Arbeit </w:t>
      </w:r>
      <w:r>
        <w:rPr>
          <w:rFonts w:cs="Arial"/>
          <w:szCs w:val="24"/>
        </w:rPr>
        <w:t xml:space="preserve">für das Modul </w:t>
      </w:r>
      <w:r w:rsidRPr="005F4E62">
        <w:rPr>
          <w:rFonts w:cs="Arial"/>
          <w:b/>
          <w:szCs w:val="24"/>
        </w:rPr>
        <w:t>72</w:t>
      </w:r>
      <w:r>
        <w:rPr>
          <w:rFonts w:cs="Arial"/>
          <w:b/>
          <w:szCs w:val="24"/>
        </w:rPr>
        <w:t>3</w:t>
      </w:r>
      <w:r w:rsidRPr="005F4E62">
        <w:rPr>
          <w:rFonts w:cs="Arial"/>
          <w:b/>
          <w:szCs w:val="24"/>
        </w:rPr>
        <w:t xml:space="preserve"> BT 0</w:t>
      </w:r>
      <w:r>
        <w:rPr>
          <w:rFonts w:cs="Arial"/>
          <w:b/>
          <w:szCs w:val="24"/>
        </w:rPr>
        <w:t>1</w:t>
      </w:r>
      <w:r>
        <w:rPr>
          <w:rFonts w:cs="Arial"/>
          <w:szCs w:val="24"/>
        </w:rPr>
        <w:t xml:space="preserve"> </w:t>
      </w:r>
      <w:r w:rsidRPr="005C438F">
        <w:rPr>
          <w:rFonts w:cs="Arial"/>
          <w:szCs w:val="24"/>
        </w:rPr>
        <w:t>selbst verfasst und keine anderen als die angeführten Behelfe verwendet habe.</w:t>
      </w:r>
    </w:p>
    <w:p w:rsidR="00B96800" w:rsidRPr="005C438F" w:rsidRDefault="00B96800" w:rsidP="00B96800">
      <w:pPr>
        <w:rPr>
          <w:rFonts w:cs="Arial"/>
          <w:szCs w:val="24"/>
        </w:rPr>
      </w:pPr>
    </w:p>
    <w:p w:rsidR="00B96800" w:rsidRPr="005C438F" w:rsidRDefault="00B96800" w:rsidP="00B96800">
      <w:pPr>
        <w:rPr>
          <w:rFonts w:cs="Arial"/>
          <w:szCs w:val="24"/>
        </w:rPr>
      </w:pPr>
      <w:r w:rsidRPr="005C438F">
        <w:rPr>
          <w:rFonts w:cs="Arial"/>
          <w:szCs w:val="24"/>
        </w:rPr>
        <w:t>Sämtliche aus fremden Quellen direkt oder indirekt übernommenen Gedanken sind als solche kenntlich gemacht und im Quellen- bzw. Literaturverzeichnis angeführt.</w:t>
      </w:r>
    </w:p>
    <w:p w:rsidR="00B96800" w:rsidRPr="005C438F" w:rsidRDefault="00B96800" w:rsidP="00B96800">
      <w:pPr>
        <w:rPr>
          <w:rFonts w:cs="Arial"/>
          <w:szCs w:val="24"/>
        </w:rPr>
      </w:pPr>
    </w:p>
    <w:p w:rsidR="00B96800" w:rsidRPr="005C438F" w:rsidRDefault="00B96800" w:rsidP="00B96800">
      <w:pPr>
        <w:rPr>
          <w:rFonts w:cs="Arial"/>
          <w:szCs w:val="24"/>
        </w:rPr>
      </w:pPr>
      <w:r w:rsidRPr="005C438F">
        <w:rPr>
          <w:rFonts w:cs="Arial"/>
          <w:szCs w:val="24"/>
        </w:rPr>
        <w:t>Diese Arbeit (oder Teile davon) wurde bisher weder in gleicher noch in ähnlicher Form in einem anderen Modul oder Studienfach vorgelegt.</w:t>
      </w:r>
    </w:p>
    <w:p w:rsidR="00B96800" w:rsidRPr="005C438F" w:rsidRDefault="00B96800" w:rsidP="00B96800">
      <w:pPr>
        <w:rPr>
          <w:rFonts w:cs="Arial"/>
          <w:szCs w:val="24"/>
        </w:rPr>
      </w:pPr>
    </w:p>
    <w:p w:rsidR="00B96800" w:rsidRPr="005C438F" w:rsidRDefault="00B96800" w:rsidP="00B96800">
      <w:pPr>
        <w:rPr>
          <w:rFonts w:cs="Arial"/>
          <w:szCs w:val="24"/>
        </w:rPr>
      </w:pPr>
      <w:r w:rsidRPr="005C438F">
        <w:rPr>
          <w:rFonts w:cs="Arial"/>
          <w:szCs w:val="24"/>
        </w:rPr>
        <w:t xml:space="preserve">Ich bin damit einverstanden, dass diese Arbeit unter Wahrung aller Urheberrechte für andere </w:t>
      </w:r>
      <w:proofErr w:type="spellStart"/>
      <w:r w:rsidRPr="005C438F">
        <w:rPr>
          <w:rFonts w:cs="Arial"/>
          <w:szCs w:val="24"/>
        </w:rPr>
        <w:t>LehrerInnen</w:t>
      </w:r>
      <w:proofErr w:type="spellEnd"/>
      <w:r w:rsidRPr="005C438F">
        <w:rPr>
          <w:rFonts w:cs="Arial"/>
          <w:szCs w:val="24"/>
        </w:rPr>
        <w:t xml:space="preserve"> zugänglich gemacht wird. </w:t>
      </w:r>
    </w:p>
    <w:p w:rsidR="00B96800" w:rsidRPr="005C438F" w:rsidRDefault="00B96800" w:rsidP="00B96800">
      <w:pPr>
        <w:rPr>
          <w:rFonts w:cs="Arial"/>
          <w:szCs w:val="24"/>
        </w:rPr>
      </w:pPr>
    </w:p>
    <w:p w:rsidR="00B96800" w:rsidRPr="005C438F" w:rsidRDefault="00B96800" w:rsidP="00B96800">
      <w:pPr>
        <w:rPr>
          <w:rFonts w:cs="Arial"/>
          <w:szCs w:val="24"/>
        </w:rPr>
      </w:pPr>
    </w:p>
    <w:p w:rsidR="00B96800" w:rsidRDefault="00B96800" w:rsidP="00B96800">
      <w:pPr>
        <w:rPr>
          <w:rFonts w:cs="Arial"/>
          <w:szCs w:val="24"/>
        </w:rPr>
      </w:pPr>
    </w:p>
    <w:p w:rsidR="00B96800" w:rsidRDefault="00B96800" w:rsidP="00B96800">
      <w:pPr>
        <w:rPr>
          <w:rFonts w:cs="Arial"/>
          <w:szCs w:val="24"/>
        </w:rPr>
      </w:pPr>
      <w:r>
        <w:rPr>
          <w:noProof/>
          <w:lang w:val="de-AT" w:eastAsia="de-AT"/>
        </w:rPr>
        <w:drawing>
          <wp:anchor distT="0" distB="0" distL="114300" distR="114300" simplePos="0" relativeHeight="251659264" behindDoc="1" locked="0" layoutInCell="1" allowOverlap="1" wp14:anchorId="2A12A2AD" wp14:editId="27F77D8C">
            <wp:simplePos x="0" y="0"/>
            <wp:positionH relativeFrom="column">
              <wp:posOffset>3281680</wp:posOffset>
            </wp:positionH>
            <wp:positionV relativeFrom="paragraph">
              <wp:posOffset>236855</wp:posOffset>
            </wp:positionV>
            <wp:extent cx="2438400" cy="962025"/>
            <wp:effectExtent l="0" t="0" r="0" b="9525"/>
            <wp:wrapNone/>
            <wp:docPr id="3" name="Grafik 3" descr="Unter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erschrif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84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6800" w:rsidRDefault="00B96800" w:rsidP="00B96800">
      <w:pPr>
        <w:rPr>
          <w:rFonts w:cs="Arial"/>
          <w:szCs w:val="24"/>
        </w:rPr>
      </w:pPr>
    </w:p>
    <w:p w:rsidR="00B96800" w:rsidRPr="005C438F" w:rsidRDefault="00B96800" w:rsidP="00B96800">
      <w:pPr>
        <w:rPr>
          <w:rFonts w:cs="Arial"/>
          <w:szCs w:val="24"/>
        </w:rPr>
      </w:pPr>
      <w:proofErr w:type="spellStart"/>
      <w:r>
        <w:rPr>
          <w:rFonts w:cs="Arial"/>
          <w:szCs w:val="24"/>
        </w:rPr>
        <w:t>Zirl</w:t>
      </w:r>
      <w:proofErr w:type="spellEnd"/>
      <w:r>
        <w:rPr>
          <w:rFonts w:cs="Arial"/>
          <w:szCs w:val="24"/>
        </w:rPr>
        <w:t>, 8. November 2016</w:t>
      </w:r>
    </w:p>
    <w:p w:rsidR="00B96800" w:rsidRPr="005C438F" w:rsidRDefault="00B96800" w:rsidP="00B96800">
      <w:pPr>
        <w:rPr>
          <w:rFonts w:cs="Arial"/>
          <w:szCs w:val="24"/>
        </w:rPr>
      </w:pPr>
      <w:r w:rsidRPr="005C438F">
        <w:rPr>
          <w:rFonts w:cs="Arial"/>
          <w:szCs w:val="24"/>
        </w:rPr>
        <w:t>Ort, Datum</w:t>
      </w:r>
      <w:r w:rsidRPr="005C438F">
        <w:rPr>
          <w:rFonts w:cs="Arial"/>
          <w:szCs w:val="24"/>
        </w:rPr>
        <w:tab/>
      </w:r>
      <w:r w:rsidRPr="005C438F">
        <w:rPr>
          <w:rFonts w:cs="Arial"/>
          <w:szCs w:val="24"/>
        </w:rPr>
        <w:tab/>
      </w:r>
      <w:r w:rsidRPr="005C438F">
        <w:rPr>
          <w:rFonts w:cs="Arial"/>
          <w:szCs w:val="24"/>
        </w:rPr>
        <w:tab/>
      </w:r>
      <w:r w:rsidRPr="005C438F">
        <w:rPr>
          <w:rFonts w:cs="Arial"/>
          <w:szCs w:val="24"/>
        </w:rPr>
        <w:tab/>
      </w:r>
      <w:r w:rsidRPr="005C438F">
        <w:rPr>
          <w:rFonts w:cs="Arial"/>
          <w:szCs w:val="24"/>
        </w:rPr>
        <w:tab/>
      </w:r>
      <w:r w:rsidRPr="005C438F">
        <w:rPr>
          <w:rFonts w:cs="Arial"/>
          <w:szCs w:val="24"/>
        </w:rPr>
        <w:tab/>
      </w:r>
      <w:r w:rsidRPr="005C438F">
        <w:rPr>
          <w:rFonts w:cs="Arial"/>
          <w:szCs w:val="24"/>
        </w:rPr>
        <w:tab/>
      </w:r>
      <w:r w:rsidRPr="005C438F">
        <w:rPr>
          <w:rFonts w:cs="Arial"/>
          <w:szCs w:val="24"/>
        </w:rPr>
        <w:tab/>
        <w:t xml:space="preserve">Unterschrift </w:t>
      </w:r>
    </w:p>
    <w:p w:rsidR="00B96800" w:rsidRPr="007768F4" w:rsidRDefault="00B96800" w:rsidP="00B96800"/>
    <w:p w:rsidR="004E716E" w:rsidRPr="005B59C1" w:rsidRDefault="004E716E" w:rsidP="00375959"/>
    <w:sectPr w:rsidR="004E716E" w:rsidRPr="005B59C1" w:rsidSect="00831590">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134" w:left="141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0D0" w:rsidRDefault="00AE40D0" w:rsidP="00C50942">
      <w:pPr>
        <w:spacing w:after="0" w:line="240" w:lineRule="auto"/>
      </w:pPr>
      <w:r>
        <w:separator/>
      </w:r>
    </w:p>
  </w:endnote>
  <w:endnote w:type="continuationSeparator" w:id="0">
    <w:p w:rsidR="00AE40D0" w:rsidRDefault="00AE40D0" w:rsidP="00C50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5E6" w:rsidRDefault="00C045E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196497"/>
      <w:docPartObj>
        <w:docPartGallery w:val="Page Numbers (Bottom of Page)"/>
        <w:docPartUnique/>
      </w:docPartObj>
    </w:sdtPr>
    <w:sdtEndPr/>
    <w:sdtContent>
      <w:p w:rsidR="00AA6071" w:rsidRDefault="00AA6071">
        <w:pPr>
          <w:pStyle w:val="Fuzeile"/>
          <w:jc w:val="right"/>
        </w:pPr>
        <w:r>
          <w:fldChar w:fldCharType="begin"/>
        </w:r>
        <w:r>
          <w:instrText>PAGE   \* MERGEFORMAT</w:instrText>
        </w:r>
        <w:r>
          <w:fldChar w:fldCharType="separate"/>
        </w:r>
        <w:r w:rsidR="00584FEA">
          <w:rPr>
            <w:noProof/>
          </w:rPr>
          <w:t>1</w:t>
        </w:r>
        <w:r>
          <w:fldChar w:fldCharType="end"/>
        </w:r>
      </w:p>
    </w:sdtContent>
  </w:sdt>
  <w:p w:rsidR="00AA6071" w:rsidRDefault="00AA60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5E6" w:rsidRDefault="00C045E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418" w:rsidRDefault="00AE40D0">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398092"/>
      <w:docPartObj>
        <w:docPartGallery w:val="Page Numbers (Bottom of Page)"/>
        <w:docPartUnique/>
      </w:docPartObj>
    </w:sdtPr>
    <w:sdtEndPr/>
    <w:sdtContent>
      <w:p w:rsidR="00AA6071" w:rsidRDefault="00AA6071">
        <w:pPr>
          <w:pStyle w:val="Fuzeile"/>
          <w:jc w:val="right"/>
        </w:pPr>
        <w:r>
          <w:fldChar w:fldCharType="begin"/>
        </w:r>
        <w:r>
          <w:instrText>PAGE   \* MERGEFORMAT</w:instrText>
        </w:r>
        <w:r>
          <w:fldChar w:fldCharType="separate"/>
        </w:r>
        <w:r w:rsidR="00584FEA">
          <w:rPr>
            <w:noProof/>
          </w:rPr>
          <w:t>14</w:t>
        </w:r>
        <w:r>
          <w:fldChar w:fldCharType="end"/>
        </w:r>
      </w:p>
    </w:sdtContent>
  </w:sdt>
  <w:p w:rsidR="009E2418" w:rsidRDefault="00AE40D0">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418" w:rsidRDefault="00AE40D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0D0" w:rsidRDefault="00AE40D0" w:rsidP="00C50942">
      <w:pPr>
        <w:spacing w:after="0" w:line="240" w:lineRule="auto"/>
      </w:pPr>
      <w:r>
        <w:separator/>
      </w:r>
    </w:p>
  </w:footnote>
  <w:footnote w:type="continuationSeparator" w:id="0">
    <w:p w:rsidR="00AE40D0" w:rsidRDefault="00AE40D0" w:rsidP="00C50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5E6" w:rsidRDefault="00C045E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27" w:rsidRPr="00C50942" w:rsidRDefault="003E5827" w:rsidP="00E24818">
    <w:pPr>
      <w:spacing w:line="240" w:lineRule="auto"/>
      <w:jc w:val="right"/>
      <w:rPr>
        <w:rFonts w:cs="Arial"/>
        <w:b/>
        <w:color w:val="084557"/>
        <w:sz w:val="20"/>
        <w:szCs w:val="20"/>
      </w:rPr>
    </w:pPr>
    <w:r>
      <w:rPr>
        <w:sz w:val="20"/>
      </w:rPr>
      <w:tab/>
    </w:r>
    <w:r>
      <w:rPr>
        <w:sz w:val="20"/>
      </w:rPr>
      <w:tab/>
    </w:r>
    <w:r w:rsidRPr="00C50942">
      <w:rPr>
        <w:rFonts w:cs="Arial"/>
        <w:sz w:val="20"/>
        <w:szCs w:val="20"/>
      </w:rPr>
      <w:tab/>
      <w:t xml:space="preserve"> </w:t>
    </w:r>
    <w:r w:rsidRPr="00C50942">
      <w:rPr>
        <w:rFonts w:cs="Arial"/>
        <w:b/>
        <w:bCs/>
        <w:noProof/>
        <w:sz w:val="20"/>
        <w:szCs w:val="20"/>
        <w:lang w:val="de-AT" w:eastAsia="de-AT"/>
      </w:rPr>
      <w:drawing>
        <wp:inline distT="0" distB="0" distL="0" distR="0" wp14:anchorId="7926ABD1" wp14:editId="5B9A7A45">
          <wp:extent cx="1452443" cy="664737"/>
          <wp:effectExtent l="0" t="0" r="0" b="2540"/>
          <wp:docPr id="24" name="Bild 2" descr="http://www.ph-tirol.ac.at/sites/ph-tirol.ac.at/files/logos/PHT_-_RGB.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h-tirol.ac.at/sites/ph-tirol.ac.at/files/logos/PHT_-_RGB.jp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1829" cy="664456"/>
                  </a:xfrm>
                  <a:prstGeom prst="rect">
                    <a:avLst/>
                  </a:prstGeom>
                  <a:noFill/>
                  <a:ln>
                    <a:noFill/>
                  </a:ln>
                </pic:spPr>
              </pic:pic>
            </a:graphicData>
          </a:graphic>
        </wp:inline>
      </w:drawing>
    </w:r>
    <w:r>
      <w:rPr>
        <w:rFonts w:cs="Arial"/>
        <w:sz w:val="20"/>
        <w:szCs w:val="20"/>
      </w:rPr>
      <w:br/>
    </w:r>
    <w:r w:rsidRPr="00C50942">
      <w:rPr>
        <w:rFonts w:cs="Arial"/>
        <w:b/>
        <w:sz w:val="20"/>
        <w:szCs w:val="20"/>
      </w:rPr>
      <w:tab/>
    </w:r>
    <w:r w:rsidRPr="00C50942">
      <w:rPr>
        <w:rFonts w:cs="Arial"/>
        <w:b/>
        <w:color w:val="084557"/>
        <w:sz w:val="20"/>
        <w:szCs w:val="20"/>
      </w:rPr>
      <w:t>Institut für Berufspädagogik</w:t>
    </w:r>
    <w:r>
      <w:rPr>
        <w:rFonts w:cs="Arial"/>
        <w:b/>
        <w:color w:val="084557"/>
        <w:sz w:val="20"/>
        <w:szCs w:val="20"/>
      </w:rPr>
      <w:br/>
    </w:r>
    <w:r w:rsidRPr="00C50942">
      <w:rPr>
        <w:rFonts w:cs="Arial"/>
        <w:color w:val="084557"/>
        <w:sz w:val="20"/>
        <w:szCs w:val="20"/>
      </w:rPr>
      <w:tab/>
    </w:r>
    <w:r w:rsidRPr="00C50942">
      <w:rPr>
        <w:rFonts w:cs="Arial"/>
        <w:b/>
        <w:color w:val="084557"/>
        <w:sz w:val="20"/>
        <w:szCs w:val="20"/>
      </w:rPr>
      <w:t>Studiengang BSP/TGP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5E6" w:rsidRPr="001B0497" w:rsidRDefault="00C045E6" w:rsidP="00C045E6">
    <w:pPr>
      <w:tabs>
        <w:tab w:val="right" w:pos="9072"/>
      </w:tabs>
      <w:spacing w:after="0" w:line="240" w:lineRule="auto"/>
      <w:jc w:val="right"/>
    </w:pPr>
    <w:r>
      <w:rPr>
        <w:b/>
        <w:noProof/>
        <w:lang w:val="de-AT" w:eastAsia="de-AT"/>
      </w:rPr>
      <w:drawing>
        <wp:inline distT="0" distB="0" distL="0" distR="0" wp14:anchorId="02BF8C75" wp14:editId="097C1596">
          <wp:extent cx="1447800" cy="666750"/>
          <wp:effectExtent l="0" t="0" r="0" b="0"/>
          <wp:docPr id="2" name="Bild 2" descr="http://www.ph-tirol.ac.at/sites/ph-tirol.ac.at/files/logos/PHT_-_RGB.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http://www.ph-tirol.ac.at/sites/ph-tirol.ac.at/files/logos/PHT_-_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666750"/>
                  </a:xfrm>
                  <a:prstGeom prst="rect">
                    <a:avLst/>
                  </a:prstGeom>
                  <a:noFill/>
                  <a:ln>
                    <a:noFill/>
                  </a:ln>
                </pic:spPr>
              </pic:pic>
            </a:graphicData>
          </a:graphic>
        </wp:inline>
      </w:drawing>
    </w:r>
  </w:p>
  <w:p w:rsidR="00C045E6" w:rsidRPr="001B0497" w:rsidRDefault="00C045E6" w:rsidP="00C045E6">
    <w:pPr>
      <w:tabs>
        <w:tab w:val="right" w:pos="9072"/>
        <w:tab w:val="right" w:pos="9781"/>
      </w:tabs>
      <w:spacing w:after="0" w:line="240" w:lineRule="auto"/>
      <w:rPr>
        <w:sz w:val="10"/>
      </w:rPr>
    </w:pPr>
  </w:p>
  <w:p w:rsidR="00C045E6" w:rsidRPr="00E24818" w:rsidRDefault="00C045E6" w:rsidP="00C045E6">
    <w:pPr>
      <w:tabs>
        <w:tab w:val="right" w:pos="9072"/>
        <w:tab w:val="right" w:pos="10206"/>
      </w:tabs>
      <w:spacing w:after="0" w:line="240" w:lineRule="auto"/>
      <w:rPr>
        <w:rFonts w:cs="Arial"/>
        <w:b/>
        <w:color w:val="084557"/>
        <w:sz w:val="20"/>
        <w:szCs w:val="20"/>
      </w:rPr>
    </w:pPr>
    <w:r w:rsidRPr="001B0497">
      <w:rPr>
        <w:rFonts w:cs="Arial"/>
        <w:b/>
      </w:rPr>
      <w:tab/>
    </w:r>
    <w:r w:rsidRPr="00E24818">
      <w:rPr>
        <w:rFonts w:cs="Arial"/>
        <w:b/>
        <w:color w:val="084557"/>
        <w:sz w:val="20"/>
        <w:szCs w:val="20"/>
      </w:rPr>
      <w:t>Institut für Berufspädagogik</w:t>
    </w:r>
  </w:p>
  <w:p w:rsidR="00C045E6" w:rsidRDefault="00C045E6" w:rsidP="00C045E6">
    <w:pPr>
      <w:tabs>
        <w:tab w:val="right" w:pos="9072"/>
        <w:tab w:val="right" w:pos="10206"/>
      </w:tabs>
      <w:spacing w:after="0" w:line="240" w:lineRule="auto"/>
      <w:rPr>
        <w:rFonts w:cs="Arial"/>
        <w:b/>
        <w:color w:val="084557"/>
        <w:sz w:val="20"/>
        <w:szCs w:val="20"/>
      </w:rPr>
    </w:pPr>
    <w:r w:rsidRPr="00E24818">
      <w:rPr>
        <w:rFonts w:cs="Arial"/>
        <w:color w:val="084557"/>
        <w:sz w:val="20"/>
        <w:szCs w:val="20"/>
      </w:rPr>
      <w:tab/>
    </w:r>
    <w:r w:rsidRPr="00E24818">
      <w:rPr>
        <w:rFonts w:cs="Arial"/>
        <w:b/>
        <w:color w:val="084557"/>
        <w:sz w:val="20"/>
        <w:szCs w:val="20"/>
      </w:rPr>
      <w:t>Studiengang BSP/TGP</w:t>
    </w:r>
  </w:p>
  <w:p w:rsidR="00C045E6" w:rsidRDefault="00C045E6" w:rsidP="00C045E6">
    <w:pPr>
      <w:pStyle w:val="Kopfzeile"/>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418" w:rsidRDefault="00AE40D0">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041" w:rsidRPr="001B0497" w:rsidRDefault="00D0329C" w:rsidP="00270041">
    <w:pPr>
      <w:tabs>
        <w:tab w:val="right" w:pos="9072"/>
      </w:tabs>
      <w:spacing w:after="0" w:line="240" w:lineRule="auto"/>
    </w:pPr>
    <w:r w:rsidRPr="001B0497">
      <w:tab/>
      <w:t xml:space="preserve"> </w:t>
    </w:r>
    <w:r w:rsidR="005A0F86">
      <w:rPr>
        <w:b/>
        <w:noProof/>
        <w:lang w:val="de-AT" w:eastAsia="de-AT"/>
      </w:rPr>
      <w:drawing>
        <wp:inline distT="0" distB="0" distL="0" distR="0">
          <wp:extent cx="1447800" cy="666750"/>
          <wp:effectExtent l="0" t="0" r="0" b="0"/>
          <wp:docPr id="1" name="Bild 2" descr="http://www.ph-tirol.ac.at/sites/ph-tirol.ac.at/files/logos/PHT_-_RGB.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http://www.ph-tirol.ac.at/sites/ph-tirol.ac.at/files/logos/PHT_-_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666750"/>
                  </a:xfrm>
                  <a:prstGeom prst="rect">
                    <a:avLst/>
                  </a:prstGeom>
                  <a:noFill/>
                  <a:ln>
                    <a:noFill/>
                  </a:ln>
                </pic:spPr>
              </pic:pic>
            </a:graphicData>
          </a:graphic>
        </wp:inline>
      </w:drawing>
    </w:r>
  </w:p>
  <w:p w:rsidR="00270041" w:rsidRPr="001B0497" w:rsidRDefault="00AE40D0" w:rsidP="00270041">
    <w:pPr>
      <w:tabs>
        <w:tab w:val="right" w:pos="9072"/>
        <w:tab w:val="right" w:pos="9781"/>
      </w:tabs>
      <w:spacing w:after="0" w:line="240" w:lineRule="auto"/>
      <w:rPr>
        <w:sz w:val="10"/>
      </w:rPr>
    </w:pPr>
  </w:p>
  <w:p w:rsidR="00270041" w:rsidRPr="00E24818" w:rsidRDefault="00D0329C" w:rsidP="00270041">
    <w:pPr>
      <w:tabs>
        <w:tab w:val="right" w:pos="9072"/>
        <w:tab w:val="right" w:pos="10206"/>
      </w:tabs>
      <w:spacing w:after="0" w:line="240" w:lineRule="auto"/>
      <w:rPr>
        <w:rFonts w:cs="Arial"/>
        <w:b/>
        <w:color w:val="084557"/>
        <w:sz w:val="20"/>
        <w:szCs w:val="20"/>
      </w:rPr>
    </w:pPr>
    <w:r w:rsidRPr="001B0497">
      <w:rPr>
        <w:rFonts w:cs="Arial"/>
        <w:b/>
      </w:rPr>
      <w:tab/>
    </w:r>
    <w:r w:rsidRPr="00E24818">
      <w:rPr>
        <w:rFonts w:cs="Arial"/>
        <w:b/>
        <w:color w:val="084557"/>
        <w:sz w:val="20"/>
        <w:szCs w:val="20"/>
      </w:rPr>
      <w:t>Institut für Berufspädagogik</w:t>
    </w:r>
  </w:p>
  <w:p w:rsidR="005B59C1" w:rsidRDefault="00D0329C" w:rsidP="00270041">
    <w:pPr>
      <w:tabs>
        <w:tab w:val="right" w:pos="9072"/>
        <w:tab w:val="right" w:pos="10206"/>
      </w:tabs>
      <w:spacing w:after="0" w:line="240" w:lineRule="auto"/>
      <w:rPr>
        <w:rFonts w:cs="Arial"/>
        <w:b/>
        <w:color w:val="084557"/>
        <w:sz w:val="20"/>
        <w:szCs w:val="20"/>
      </w:rPr>
    </w:pPr>
    <w:r w:rsidRPr="00E24818">
      <w:rPr>
        <w:rFonts w:cs="Arial"/>
        <w:color w:val="084557"/>
        <w:sz w:val="20"/>
        <w:szCs w:val="20"/>
      </w:rPr>
      <w:tab/>
    </w:r>
    <w:r w:rsidRPr="00E24818">
      <w:rPr>
        <w:rFonts w:cs="Arial"/>
        <w:b/>
        <w:color w:val="084557"/>
        <w:sz w:val="20"/>
        <w:szCs w:val="20"/>
      </w:rPr>
      <w:t>Studiengang BSP/TGP</w:t>
    </w:r>
  </w:p>
  <w:p w:rsidR="00375959" w:rsidRPr="00E24818" w:rsidRDefault="00375959" w:rsidP="00270041">
    <w:pPr>
      <w:tabs>
        <w:tab w:val="right" w:pos="9072"/>
        <w:tab w:val="right" w:pos="10206"/>
      </w:tabs>
      <w:spacing w:after="0" w:line="240" w:lineRule="auto"/>
      <w:rPr>
        <w:rFonts w:cs="Arial"/>
        <w:b/>
        <w:color w:val="084557"/>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418" w:rsidRDefault="00AE40D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7D33"/>
    <w:multiLevelType w:val="hybridMultilevel"/>
    <w:tmpl w:val="C68EABD8"/>
    <w:lvl w:ilvl="0" w:tplc="DE608F9E">
      <w:start w:val="1"/>
      <w:numFmt w:val="bullet"/>
      <w:pStyle w:val="Listenabsatz"/>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 w15:restartNumberingAfterBreak="0">
    <w:nsid w:val="029949DF"/>
    <w:multiLevelType w:val="hybridMultilevel"/>
    <w:tmpl w:val="B7224BCC"/>
    <w:lvl w:ilvl="0" w:tplc="0C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64C3C8D"/>
    <w:multiLevelType w:val="hybridMultilevel"/>
    <w:tmpl w:val="3F80957E"/>
    <w:lvl w:ilvl="0" w:tplc="ADBCA988">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67D07B5"/>
    <w:multiLevelType w:val="hybridMultilevel"/>
    <w:tmpl w:val="B4BC2DBA"/>
    <w:lvl w:ilvl="0" w:tplc="0C07000F">
      <w:start w:val="1"/>
      <w:numFmt w:val="decimal"/>
      <w:lvlText w:val="%1."/>
      <w:lvlJc w:val="left"/>
      <w:pPr>
        <w:ind w:left="720" w:hanging="360"/>
      </w:pPr>
      <w:rPr>
        <w:rFonts w:hint="default"/>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D54EDB"/>
    <w:multiLevelType w:val="hybridMultilevel"/>
    <w:tmpl w:val="C4A0C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027A5C"/>
    <w:multiLevelType w:val="hybridMultilevel"/>
    <w:tmpl w:val="FC8406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DA266F"/>
    <w:multiLevelType w:val="hybridMultilevel"/>
    <w:tmpl w:val="68FE59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1F2D72"/>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7227814"/>
    <w:multiLevelType w:val="hybridMultilevel"/>
    <w:tmpl w:val="C17EB5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7680284"/>
    <w:multiLevelType w:val="multilevel"/>
    <w:tmpl w:val="8C0C10C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F232067"/>
    <w:multiLevelType w:val="hybridMultilevel"/>
    <w:tmpl w:val="00AC0D14"/>
    <w:lvl w:ilvl="0" w:tplc="FDF6951A">
      <w:start w:val="1"/>
      <w:numFmt w:val="upperRoman"/>
      <w:lvlText w:val="%1."/>
      <w:lvlJc w:val="right"/>
      <w:pPr>
        <w:ind w:left="720" w:hanging="360"/>
      </w:pPr>
      <w:rPr>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66A3FC4"/>
    <w:multiLevelType w:val="hybridMultilevel"/>
    <w:tmpl w:val="28B8A7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611C8B"/>
    <w:multiLevelType w:val="hybridMultilevel"/>
    <w:tmpl w:val="252C6A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B033249"/>
    <w:multiLevelType w:val="hybridMultilevel"/>
    <w:tmpl w:val="9C70FF50"/>
    <w:lvl w:ilvl="0" w:tplc="2FB49372">
      <w:start w:val="1"/>
      <w:numFmt w:val="upperRoman"/>
      <w:lvlText w:val="%1."/>
      <w:lvlJc w:val="right"/>
      <w:pPr>
        <w:ind w:left="720" w:hanging="360"/>
      </w:pPr>
      <w:rPr>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5187848"/>
    <w:multiLevelType w:val="hybridMultilevel"/>
    <w:tmpl w:val="67988B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579061C"/>
    <w:multiLevelType w:val="hybridMultilevel"/>
    <w:tmpl w:val="0718761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45E51A5F"/>
    <w:multiLevelType w:val="hybridMultilevel"/>
    <w:tmpl w:val="CEC85C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84C496F"/>
    <w:multiLevelType w:val="hybridMultilevel"/>
    <w:tmpl w:val="13A631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8E40940"/>
    <w:multiLevelType w:val="hybridMultilevel"/>
    <w:tmpl w:val="14E2AADC"/>
    <w:lvl w:ilvl="0" w:tplc="EC006C00">
      <w:start w:val="2"/>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D1D0663"/>
    <w:multiLevelType w:val="hybridMultilevel"/>
    <w:tmpl w:val="2E389D88"/>
    <w:lvl w:ilvl="0" w:tplc="6CF46F16">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6043163"/>
    <w:multiLevelType w:val="hybridMultilevel"/>
    <w:tmpl w:val="E1A62040"/>
    <w:lvl w:ilvl="0" w:tplc="A7CE2A3C">
      <w:start w:val="1"/>
      <w:numFmt w:val="decimal"/>
      <w:lvlText w:val="%1."/>
      <w:lvlJc w:val="lef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06C6641"/>
    <w:multiLevelType w:val="hybridMultilevel"/>
    <w:tmpl w:val="290AD9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AB44435"/>
    <w:multiLevelType w:val="hybridMultilevel"/>
    <w:tmpl w:val="E1866B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DB146C4"/>
    <w:multiLevelType w:val="hybridMultilevel"/>
    <w:tmpl w:val="273A3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9"/>
  </w:num>
  <w:num w:numId="5">
    <w:abstractNumId w:val="9"/>
  </w:num>
  <w:num w:numId="6">
    <w:abstractNumId w:val="0"/>
  </w:num>
  <w:num w:numId="7">
    <w:abstractNumId w:val="12"/>
  </w:num>
  <w:num w:numId="8">
    <w:abstractNumId w:val="6"/>
  </w:num>
  <w:num w:numId="9">
    <w:abstractNumId w:val="11"/>
  </w:num>
  <w:num w:numId="10">
    <w:abstractNumId w:val="14"/>
  </w:num>
  <w:num w:numId="11">
    <w:abstractNumId w:val="23"/>
  </w:num>
  <w:num w:numId="12">
    <w:abstractNumId w:val="16"/>
  </w:num>
  <w:num w:numId="13">
    <w:abstractNumId w:val="21"/>
  </w:num>
  <w:num w:numId="14">
    <w:abstractNumId w:val="17"/>
  </w:num>
  <w:num w:numId="15">
    <w:abstractNumId w:val="4"/>
  </w:num>
  <w:num w:numId="16">
    <w:abstractNumId w:val="22"/>
  </w:num>
  <w:num w:numId="17">
    <w:abstractNumId w:val="1"/>
  </w:num>
  <w:num w:numId="18">
    <w:abstractNumId w:val="13"/>
  </w:num>
  <w:num w:numId="19">
    <w:abstractNumId w:val="10"/>
  </w:num>
  <w:num w:numId="20">
    <w:abstractNumId w:val="18"/>
  </w:num>
  <w:num w:numId="21">
    <w:abstractNumId w:val="3"/>
  </w:num>
  <w:num w:numId="22">
    <w:abstractNumId w:val="2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19"/>
  </w:num>
  <w:num w:numId="31">
    <w:abstractNumId w:val="2"/>
  </w:num>
  <w:num w:numId="32">
    <w:abstractNumId w:val="15"/>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5"/>
  </w:num>
  <w:num w:numId="41">
    <w:abstractNumId w:val="8"/>
  </w:num>
  <w:num w:numId="42">
    <w:abstractNumId w:val="0"/>
  </w:num>
  <w:num w:numId="43">
    <w:abstractNumId w:val="0"/>
  </w:num>
  <w:num w:numId="44">
    <w:abstractNumId w:val="0"/>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0" w:nlCheck="1" w:checkStyle="0"/>
  <w:activeWritingStyle w:appName="MSWord" w:lang="de-AT" w:vendorID="64" w:dllVersion="0" w:nlCheck="1" w:checkStyle="0"/>
  <w:activeWritingStyle w:appName="MSWord" w:lang="en-GB" w:vendorID="64" w:dllVersion="0" w:nlCheck="1" w:checkStyle="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B2"/>
    <w:rsid w:val="00007DB0"/>
    <w:rsid w:val="00014C48"/>
    <w:rsid w:val="00014D97"/>
    <w:rsid w:val="00015138"/>
    <w:rsid w:val="000226EF"/>
    <w:rsid w:val="00023531"/>
    <w:rsid w:val="000258CF"/>
    <w:rsid w:val="00031122"/>
    <w:rsid w:val="00034E60"/>
    <w:rsid w:val="000367FE"/>
    <w:rsid w:val="00037397"/>
    <w:rsid w:val="00042597"/>
    <w:rsid w:val="0004429B"/>
    <w:rsid w:val="00045EBA"/>
    <w:rsid w:val="000552E5"/>
    <w:rsid w:val="00072000"/>
    <w:rsid w:val="00077461"/>
    <w:rsid w:val="00081F86"/>
    <w:rsid w:val="00090AD9"/>
    <w:rsid w:val="00090E64"/>
    <w:rsid w:val="00094655"/>
    <w:rsid w:val="00096C7B"/>
    <w:rsid w:val="000A14AA"/>
    <w:rsid w:val="000A2E4E"/>
    <w:rsid w:val="000A331A"/>
    <w:rsid w:val="000A6B51"/>
    <w:rsid w:val="000B1BC9"/>
    <w:rsid w:val="000B397A"/>
    <w:rsid w:val="000C1909"/>
    <w:rsid w:val="000C2651"/>
    <w:rsid w:val="000C421D"/>
    <w:rsid w:val="000C4405"/>
    <w:rsid w:val="000C48ED"/>
    <w:rsid w:val="000D102C"/>
    <w:rsid w:val="000D1164"/>
    <w:rsid w:val="000D3C7B"/>
    <w:rsid w:val="000D47AE"/>
    <w:rsid w:val="000D6E96"/>
    <w:rsid w:val="000E5C00"/>
    <w:rsid w:val="000F0067"/>
    <w:rsid w:val="000F0F35"/>
    <w:rsid w:val="000F19A9"/>
    <w:rsid w:val="000F1C6C"/>
    <w:rsid w:val="000F6CA1"/>
    <w:rsid w:val="001011CB"/>
    <w:rsid w:val="00102393"/>
    <w:rsid w:val="00106E75"/>
    <w:rsid w:val="001150A6"/>
    <w:rsid w:val="00121E78"/>
    <w:rsid w:val="001222ED"/>
    <w:rsid w:val="001263C4"/>
    <w:rsid w:val="00134047"/>
    <w:rsid w:val="00144560"/>
    <w:rsid w:val="0014569A"/>
    <w:rsid w:val="00145985"/>
    <w:rsid w:val="00154DAC"/>
    <w:rsid w:val="001551C4"/>
    <w:rsid w:val="00160848"/>
    <w:rsid w:val="001663C1"/>
    <w:rsid w:val="00167FC5"/>
    <w:rsid w:val="00171E45"/>
    <w:rsid w:val="00172944"/>
    <w:rsid w:val="00175CD5"/>
    <w:rsid w:val="001823AB"/>
    <w:rsid w:val="00186997"/>
    <w:rsid w:val="00190EE0"/>
    <w:rsid w:val="0019379B"/>
    <w:rsid w:val="001948BC"/>
    <w:rsid w:val="001951CA"/>
    <w:rsid w:val="00195CF8"/>
    <w:rsid w:val="001A2659"/>
    <w:rsid w:val="001A26C2"/>
    <w:rsid w:val="001A2B7B"/>
    <w:rsid w:val="001A42CD"/>
    <w:rsid w:val="001A4C41"/>
    <w:rsid w:val="001A6B72"/>
    <w:rsid w:val="001A6CB4"/>
    <w:rsid w:val="001A7515"/>
    <w:rsid w:val="001B14B8"/>
    <w:rsid w:val="001B32E3"/>
    <w:rsid w:val="001B37F6"/>
    <w:rsid w:val="001B73EF"/>
    <w:rsid w:val="001C034E"/>
    <w:rsid w:val="001C22FA"/>
    <w:rsid w:val="001C52B6"/>
    <w:rsid w:val="001C6761"/>
    <w:rsid w:val="001D00B1"/>
    <w:rsid w:val="001D4AFF"/>
    <w:rsid w:val="001E6281"/>
    <w:rsid w:val="001F0314"/>
    <w:rsid w:val="001F2DEF"/>
    <w:rsid w:val="001F35AB"/>
    <w:rsid w:val="0020114A"/>
    <w:rsid w:val="00203D94"/>
    <w:rsid w:val="00207405"/>
    <w:rsid w:val="002078B1"/>
    <w:rsid w:val="002132D7"/>
    <w:rsid w:val="00216003"/>
    <w:rsid w:val="00221950"/>
    <w:rsid w:val="00223A92"/>
    <w:rsid w:val="002247EF"/>
    <w:rsid w:val="00242B9B"/>
    <w:rsid w:val="00243D71"/>
    <w:rsid w:val="00247C9D"/>
    <w:rsid w:val="0025080F"/>
    <w:rsid w:val="002522B7"/>
    <w:rsid w:val="00253954"/>
    <w:rsid w:val="00254536"/>
    <w:rsid w:val="002550EB"/>
    <w:rsid w:val="00255BC2"/>
    <w:rsid w:val="00257431"/>
    <w:rsid w:val="00260D5A"/>
    <w:rsid w:val="00262ECA"/>
    <w:rsid w:val="00267646"/>
    <w:rsid w:val="0027343E"/>
    <w:rsid w:val="00273C22"/>
    <w:rsid w:val="0027763C"/>
    <w:rsid w:val="00277ABE"/>
    <w:rsid w:val="00277CB2"/>
    <w:rsid w:val="002947B9"/>
    <w:rsid w:val="0029492E"/>
    <w:rsid w:val="0029540A"/>
    <w:rsid w:val="00295A23"/>
    <w:rsid w:val="0029745B"/>
    <w:rsid w:val="002A0A41"/>
    <w:rsid w:val="002A20B7"/>
    <w:rsid w:val="002A25D8"/>
    <w:rsid w:val="002B24C4"/>
    <w:rsid w:val="002C3CDB"/>
    <w:rsid w:val="002C469C"/>
    <w:rsid w:val="002C6F0F"/>
    <w:rsid w:val="002C7F8F"/>
    <w:rsid w:val="002D7EE5"/>
    <w:rsid w:val="002E0340"/>
    <w:rsid w:val="002E5250"/>
    <w:rsid w:val="002E52BE"/>
    <w:rsid w:val="002F19BA"/>
    <w:rsid w:val="002F692F"/>
    <w:rsid w:val="002F7EE2"/>
    <w:rsid w:val="003030AA"/>
    <w:rsid w:val="003054C8"/>
    <w:rsid w:val="003061E2"/>
    <w:rsid w:val="00312CEB"/>
    <w:rsid w:val="0031325F"/>
    <w:rsid w:val="00314780"/>
    <w:rsid w:val="00322B4B"/>
    <w:rsid w:val="00325AA7"/>
    <w:rsid w:val="0033056F"/>
    <w:rsid w:val="003332C5"/>
    <w:rsid w:val="00335B91"/>
    <w:rsid w:val="003369DA"/>
    <w:rsid w:val="00337FEF"/>
    <w:rsid w:val="0034194D"/>
    <w:rsid w:val="00341F2D"/>
    <w:rsid w:val="003432BC"/>
    <w:rsid w:val="00346A01"/>
    <w:rsid w:val="003651FC"/>
    <w:rsid w:val="003754FF"/>
    <w:rsid w:val="00375959"/>
    <w:rsid w:val="003770E0"/>
    <w:rsid w:val="00377E9D"/>
    <w:rsid w:val="003848A9"/>
    <w:rsid w:val="00387CD7"/>
    <w:rsid w:val="00387DF0"/>
    <w:rsid w:val="00392F4B"/>
    <w:rsid w:val="0039471E"/>
    <w:rsid w:val="00395899"/>
    <w:rsid w:val="0039725F"/>
    <w:rsid w:val="00397605"/>
    <w:rsid w:val="003A3022"/>
    <w:rsid w:val="003A321C"/>
    <w:rsid w:val="003B2379"/>
    <w:rsid w:val="003B3788"/>
    <w:rsid w:val="003B4DD5"/>
    <w:rsid w:val="003B5095"/>
    <w:rsid w:val="003B5909"/>
    <w:rsid w:val="003B5BB0"/>
    <w:rsid w:val="003B6FD2"/>
    <w:rsid w:val="003B706D"/>
    <w:rsid w:val="003B73F0"/>
    <w:rsid w:val="003C0606"/>
    <w:rsid w:val="003C06BE"/>
    <w:rsid w:val="003C0BBF"/>
    <w:rsid w:val="003C0EE4"/>
    <w:rsid w:val="003C11D0"/>
    <w:rsid w:val="003C5BAA"/>
    <w:rsid w:val="003C7003"/>
    <w:rsid w:val="003C7ECE"/>
    <w:rsid w:val="003D400D"/>
    <w:rsid w:val="003D49B9"/>
    <w:rsid w:val="003D4E7D"/>
    <w:rsid w:val="003D636F"/>
    <w:rsid w:val="003D7C08"/>
    <w:rsid w:val="003E1DCF"/>
    <w:rsid w:val="003E2FE3"/>
    <w:rsid w:val="003E4184"/>
    <w:rsid w:val="003E468F"/>
    <w:rsid w:val="003E5288"/>
    <w:rsid w:val="003E5827"/>
    <w:rsid w:val="003F1C3C"/>
    <w:rsid w:val="004000B0"/>
    <w:rsid w:val="00401740"/>
    <w:rsid w:val="00401BF7"/>
    <w:rsid w:val="00402E70"/>
    <w:rsid w:val="00407ED8"/>
    <w:rsid w:val="0041010D"/>
    <w:rsid w:val="00413CC8"/>
    <w:rsid w:val="0041652A"/>
    <w:rsid w:val="0042249C"/>
    <w:rsid w:val="00424EC9"/>
    <w:rsid w:val="0042685D"/>
    <w:rsid w:val="004302EB"/>
    <w:rsid w:val="0043030A"/>
    <w:rsid w:val="004306E4"/>
    <w:rsid w:val="0043286C"/>
    <w:rsid w:val="00434450"/>
    <w:rsid w:val="004356B9"/>
    <w:rsid w:val="00447051"/>
    <w:rsid w:val="004512D1"/>
    <w:rsid w:val="00451471"/>
    <w:rsid w:val="00453AEC"/>
    <w:rsid w:val="004660E2"/>
    <w:rsid w:val="00466C18"/>
    <w:rsid w:val="00467877"/>
    <w:rsid w:val="00475638"/>
    <w:rsid w:val="00476768"/>
    <w:rsid w:val="004844EE"/>
    <w:rsid w:val="00485EBC"/>
    <w:rsid w:val="00492983"/>
    <w:rsid w:val="00492DC4"/>
    <w:rsid w:val="0049358E"/>
    <w:rsid w:val="004A32DF"/>
    <w:rsid w:val="004A4F31"/>
    <w:rsid w:val="004A6204"/>
    <w:rsid w:val="004A6449"/>
    <w:rsid w:val="004B1E56"/>
    <w:rsid w:val="004B1F96"/>
    <w:rsid w:val="004B77A0"/>
    <w:rsid w:val="004B783E"/>
    <w:rsid w:val="004C0965"/>
    <w:rsid w:val="004C3E19"/>
    <w:rsid w:val="004E02BD"/>
    <w:rsid w:val="004E32C7"/>
    <w:rsid w:val="004E543A"/>
    <w:rsid w:val="004E716E"/>
    <w:rsid w:val="004F0851"/>
    <w:rsid w:val="00500E47"/>
    <w:rsid w:val="00510403"/>
    <w:rsid w:val="005276C9"/>
    <w:rsid w:val="0053187F"/>
    <w:rsid w:val="005321D8"/>
    <w:rsid w:val="00534459"/>
    <w:rsid w:val="0053562C"/>
    <w:rsid w:val="00536672"/>
    <w:rsid w:val="005373C6"/>
    <w:rsid w:val="00544287"/>
    <w:rsid w:val="00544367"/>
    <w:rsid w:val="00547049"/>
    <w:rsid w:val="0055334F"/>
    <w:rsid w:val="005536E9"/>
    <w:rsid w:val="005558B6"/>
    <w:rsid w:val="0056727C"/>
    <w:rsid w:val="00570408"/>
    <w:rsid w:val="0057291C"/>
    <w:rsid w:val="0057361D"/>
    <w:rsid w:val="00575B76"/>
    <w:rsid w:val="0058128C"/>
    <w:rsid w:val="005818A6"/>
    <w:rsid w:val="00584FEA"/>
    <w:rsid w:val="005908C7"/>
    <w:rsid w:val="00595591"/>
    <w:rsid w:val="00595CD6"/>
    <w:rsid w:val="005A0F86"/>
    <w:rsid w:val="005A5790"/>
    <w:rsid w:val="005B2CFE"/>
    <w:rsid w:val="005B4BCF"/>
    <w:rsid w:val="005B5155"/>
    <w:rsid w:val="005B51AD"/>
    <w:rsid w:val="005B59C1"/>
    <w:rsid w:val="005C0532"/>
    <w:rsid w:val="005C52E1"/>
    <w:rsid w:val="005C6D4D"/>
    <w:rsid w:val="005D1699"/>
    <w:rsid w:val="005D2D4E"/>
    <w:rsid w:val="005D5432"/>
    <w:rsid w:val="005D5D92"/>
    <w:rsid w:val="005E2804"/>
    <w:rsid w:val="005E28A1"/>
    <w:rsid w:val="005E2E7E"/>
    <w:rsid w:val="005E6AEE"/>
    <w:rsid w:val="005E736A"/>
    <w:rsid w:val="005E7F3E"/>
    <w:rsid w:val="005E7FCC"/>
    <w:rsid w:val="005F3C32"/>
    <w:rsid w:val="005F4C83"/>
    <w:rsid w:val="0062073B"/>
    <w:rsid w:val="00621619"/>
    <w:rsid w:val="00625805"/>
    <w:rsid w:val="00625C7C"/>
    <w:rsid w:val="00626CA9"/>
    <w:rsid w:val="00637BFE"/>
    <w:rsid w:val="00643108"/>
    <w:rsid w:val="00644966"/>
    <w:rsid w:val="00644ECF"/>
    <w:rsid w:val="00645435"/>
    <w:rsid w:val="006465A7"/>
    <w:rsid w:val="006470E5"/>
    <w:rsid w:val="006474A3"/>
    <w:rsid w:val="00647629"/>
    <w:rsid w:val="006504AF"/>
    <w:rsid w:val="00650578"/>
    <w:rsid w:val="00656295"/>
    <w:rsid w:val="00657AA1"/>
    <w:rsid w:val="00662319"/>
    <w:rsid w:val="00663B4C"/>
    <w:rsid w:val="00663E99"/>
    <w:rsid w:val="00667526"/>
    <w:rsid w:val="006679FC"/>
    <w:rsid w:val="006722A9"/>
    <w:rsid w:val="0067281C"/>
    <w:rsid w:val="0067417B"/>
    <w:rsid w:val="006751B8"/>
    <w:rsid w:val="00676006"/>
    <w:rsid w:val="00690B6D"/>
    <w:rsid w:val="00697C50"/>
    <w:rsid w:val="006A07ED"/>
    <w:rsid w:val="006A2A8E"/>
    <w:rsid w:val="006A5346"/>
    <w:rsid w:val="006A53BE"/>
    <w:rsid w:val="006A6DB8"/>
    <w:rsid w:val="006B0123"/>
    <w:rsid w:val="006B1CD1"/>
    <w:rsid w:val="006C2E20"/>
    <w:rsid w:val="006C6BB2"/>
    <w:rsid w:val="006D2540"/>
    <w:rsid w:val="006D5BD7"/>
    <w:rsid w:val="006D6979"/>
    <w:rsid w:val="006E088B"/>
    <w:rsid w:val="006E5692"/>
    <w:rsid w:val="006F040A"/>
    <w:rsid w:val="006F3207"/>
    <w:rsid w:val="006F7B24"/>
    <w:rsid w:val="00700161"/>
    <w:rsid w:val="00706871"/>
    <w:rsid w:val="007079BF"/>
    <w:rsid w:val="007126FC"/>
    <w:rsid w:val="00714B5A"/>
    <w:rsid w:val="0071692C"/>
    <w:rsid w:val="00717A3E"/>
    <w:rsid w:val="00721716"/>
    <w:rsid w:val="0073184D"/>
    <w:rsid w:val="0073193F"/>
    <w:rsid w:val="00731DE8"/>
    <w:rsid w:val="007322DA"/>
    <w:rsid w:val="00732DF9"/>
    <w:rsid w:val="00737316"/>
    <w:rsid w:val="0073775B"/>
    <w:rsid w:val="007429D9"/>
    <w:rsid w:val="0074521B"/>
    <w:rsid w:val="00753B4D"/>
    <w:rsid w:val="007625BF"/>
    <w:rsid w:val="00762A7A"/>
    <w:rsid w:val="00763E0D"/>
    <w:rsid w:val="0076764F"/>
    <w:rsid w:val="00767C4F"/>
    <w:rsid w:val="00774726"/>
    <w:rsid w:val="00786070"/>
    <w:rsid w:val="00787B81"/>
    <w:rsid w:val="00793C81"/>
    <w:rsid w:val="007A032A"/>
    <w:rsid w:val="007A2FDE"/>
    <w:rsid w:val="007A53AA"/>
    <w:rsid w:val="007B1447"/>
    <w:rsid w:val="007B1583"/>
    <w:rsid w:val="007B3BD9"/>
    <w:rsid w:val="007B5642"/>
    <w:rsid w:val="007B5F29"/>
    <w:rsid w:val="007B7DA7"/>
    <w:rsid w:val="007C3AB7"/>
    <w:rsid w:val="007C4B9B"/>
    <w:rsid w:val="007C5550"/>
    <w:rsid w:val="007D52E5"/>
    <w:rsid w:val="007D53AE"/>
    <w:rsid w:val="007D616F"/>
    <w:rsid w:val="007E2B87"/>
    <w:rsid w:val="007F14E7"/>
    <w:rsid w:val="007F3EA9"/>
    <w:rsid w:val="007F6AB4"/>
    <w:rsid w:val="007F794F"/>
    <w:rsid w:val="007F7E81"/>
    <w:rsid w:val="00803E65"/>
    <w:rsid w:val="00804234"/>
    <w:rsid w:val="00805B31"/>
    <w:rsid w:val="00805CF6"/>
    <w:rsid w:val="00805D45"/>
    <w:rsid w:val="0081740F"/>
    <w:rsid w:val="00817864"/>
    <w:rsid w:val="00817B74"/>
    <w:rsid w:val="0082170C"/>
    <w:rsid w:val="008220F6"/>
    <w:rsid w:val="00830EB3"/>
    <w:rsid w:val="00831590"/>
    <w:rsid w:val="00835A35"/>
    <w:rsid w:val="00836DA5"/>
    <w:rsid w:val="00837CE1"/>
    <w:rsid w:val="00844065"/>
    <w:rsid w:val="00844D8B"/>
    <w:rsid w:val="00847158"/>
    <w:rsid w:val="00853B97"/>
    <w:rsid w:val="00861C66"/>
    <w:rsid w:val="00862E6E"/>
    <w:rsid w:val="00867BCB"/>
    <w:rsid w:val="00867E59"/>
    <w:rsid w:val="008748AA"/>
    <w:rsid w:val="0087613B"/>
    <w:rsid w:val="00885CE1"/>
    <w:rsid w:val="00892246"/>
    <w:rsid w:val="00892DCD"/>
    <w:rsid w:val="00894989"/>
    <w:rsid w:val="008A0826"/>
    <w:rsid w:val="008A166D"/>
    <w:rsid w:val="008A7984"/>
    <w:rsid w:val="008C1184"/>
    <w:rsid w:val="008C286B"/>
    <w:rsid w:val="008C45E6"/>
    <w:rsid w:val="008D4D21"/>
    <w:rsid w:val="008D7473"/>
    <w:rsid w:val="008D78DA"/>
    <w:rsid w:val="008E2A60"/>
    <w:rsid w:val="008E6710"/>
    <w:rsid w:val="008E73B0"/>
    <w:rsid w:val="008F03E3"/>
    <w:rsid w:val="008F0FDC"/>
    <w:rsid w:val="008F431D"/>
    <w:rsid w:val="009019C3"/>
    <w:rsid w:val="00901F04"/>
    <w:rsid w:val="009033A2"/>
    <w:rsid w:val="0090461E"/>
    <w:rsid w:val="009064AA"/>
    <w:rsid w:val="00906698"/>
    <w:rsid w:val="00914B02"/>
    <w:rsid w:val="00920666"/>
    <w:rsid w:val="00925BAD"/>
    <w:rsid w:val="0092767F"/>
    <w:rsid w:val="00932C42"/>
    <w:rsid w:val="0093347B"/>
    <w:rsid w:val="00933ECF"/>
    <w:rsid w:val="0093415A"/>
    <w:rsid w:val="0093721D"/>
    <w:rsid w:val="00946684"/>
    <w:rsid w:val="00947281"/>
    <w:rsid w:val="00947FCD"/>
    <w:rsid w:val="009606DE"/>
    <w:rsid w:val="0096405E"/>
    <w:rsid w:val="009703EE"/>
    <w:rsid w:val="009706B2"/>
    <w:rsid w:val="009828D3"/>
    <w:rsid w:val="0099379B"/>
    <w:rsid w:val="009A2F37"/>
    <w:rsid w:val="009A497B"/>
    <w:rsid w:val="009A5499"/>
    <w:rsid w:val="009B0267"/>
    <w:rsid w:val="009C1689"/>
    <w:rsid w:val="009C3E09"/>
    <w:rsid w:val="009C7216"/>
    <w:rsid w:val="009D1B46"/>
    <w:rsid w:val="009D2835"/>
    <w:rsid w:val="009D4540"/>
    <w:rsid w:val="009D5184"/>
    <w:rsid w:val="009E0024"/>
    <w:rsid w:val="009E0057"/>
    <w:rsid w:val="009E55F6"/>
    <w:rsid w:val="009E72C7"/>
    <w:rsid w:val="009F1609"/>
    <w:rsid w:val="009F2601"/>
    <w:rsid w:val="009F58ED"/>
    <w:rsid w:val="009F5DB3"/>
    <w:rsid w:val="009F69B9"/>
    <w:rsid w:val="009F6A8A"/>
    <w:rsid w:val="00A01A9F"/>
    <w:rsid w:val="00A07B23"/>
    <w:rsid w:val="00A12694"/>
    <w:rsid w:val="00A145FE"/>
    <w:rsid w:val="00A14698"/>
    <w:rsid w:val="00A17324"/>
    <w:rsid w:val="00A22E5A"/>
    <w:rsid w:val="00A269B8"/>
    <w:rsid w:val="00A3576E"/>
    <w:rsid w:val="00A418DD"/>
    <w:rsid w:val="00A43CB7"/>
    <w:rsid w:val="00A44B1F"/>
    <w:rsid w:val="00A52E08"/>
    <w:rsid w:val="00A5517D"/>
    <w:rsid w:val="00A568A4"/>
    <w:rsid w:val="00A60D51"/>
    <w:rsid w:val="00A61832"/>
    <w:rsid w:val="00A657C3"/>
    <w:rsid w:val="00A65C01"/>
    <w:rsid w:val="00A677A5"/>
    <w:rsid w:val="00A715C0"/>
    <w:rsid w:val="00A71704"/>
    <w:rsid w:val="00A774D4"/>
    <w:rsid w:val="00A77763"/>
    <w:rsid w:val="00A84681"/>
    <w:rsid w:val="00A86AB7"/>
    <w:rsid w:val="00A8770F"/>
    <w:rsid w:val="00A914BE"/>
    <w:rsid w:val="00A9306D"/>
    <w:rsid w:val="00A95475"/>
    <w:rsid w:val="00AA2542"/>
    <w:rsid w:val="00AA59F4"/>
    <w:rsid w:val="00AA6071"/>
    <w:rsid w:val="00AC0394"/>
    <w:rsid w:val="00AD23E5"/>
    <w:rsid w:val="00AD78EC"/>
    <w:rsid w:val="00AD7FAB"/>
    <w:rsid w:val="00AE1007"/>
    <w:rsid w:val="00AE3EB8"/>
    <w:rsid w:val="00AE40D0"/>
    <w:rsid w:val="00AF0FD3"/>
    <w:rsid w:val="00AF2380"/>
    <w:rsid w:val="00AF29BD"/>
    <w:rsid w:val="00AF7490"/>
    <w:rsid w:val="00B0240A"/>
    <w:rsid w:val="00B06EA8"/>
    <w:rsid w:val="00B11F1D"/>
    <w:rsid w:val="00B1334F"/>
    <w:rsid w:val="00B1388E"/>
    <w:rsid w:val="00B14F81"/>
    <w:rsid w:val="00B1522F"/>
    <w:rsid w:val="00B161CA"/>
    <w:rsid w:val="00B241AA"/>
    <w:rsid w:val="00B27456"/>
    <w:rsid w:val="00B30CFE"/>
    <w:rsid w:val="00B33DDC"/>
    <w:rsid w:val="00B34D92"/>
    <w:rsid w:val="00B37211"/>
    <w:rsid w:val="00B41E7F"/>
    <w:rsid w:val="00B44C7A"/>
    <w:rsid w:val="00B46E23"/>
    <w:rsid w:val="00B50021"/>
    <w:rsid w:val="00B5258E"/>
    <w:rsid w:val="00B544F2"/>
    <w:rsid w:val="00B548EB"/>
    <w:rsid w:val="00B57705"/>
    <w:rsid w:val="00B57BFB"/>
    <w:rsid w:val="00B57C3E"/>
    <w:rsid w:val="00B61D8F"/>
    <w:rsid w:val="00B669ED"/>
    <w:rsid w:val="00B71597"/>
    <w:rsid w:val="00B75213"/>
    <w:rsid w:val="00B773D5"/>
    <w:rsid w:val="00B83592"/>
    <w:rsid w:val="00B84FE0"/>
    <w:rsid w:val="00B8673E"/>
    <w:rsid w:val="00B8697B"/>
    <w:rsid w:val="00B8741D"/>
    <w:rsid w:val="00B914A7"/>
    <w:rsid w:val="00B93E39"/>
    <w:rsid w:val="00B94DF0"/>
    <w:rsid w:val="00B9539F"/>
    <w:rsid w:val="00B96800"/>
    <w:rsid w:val="00BA057A"/>
    <w:rsid w:val="00BA12CB"/>
    <w:rsid w:val="00BA1FBB"/>
    <w:rsid w:val="00BA427B"/>
    <w:rsid w:val="00BA4793"/>
    <w:rsid w:val="00BA7EAD"/>
    <w:rsid w:val="00BB4123"/>
    <w:rsid w:val="00BB488D"/>
    <w:rsid w:val="00BB5EF3"/>
    <w:rsid w:val="00BC2C2E"/>
    <w:rsid w:val="00BC2F92"/>
    <w:rsid w:val="00BD106C"/>
    <w:rsid w:val="00BD16E1"/>
    <w:rsid w:val="00BD27D2"/>
    <w:rsid w:val="00BD7465"/>
    <w:rsid w:val="00BE4012"/>
    <w:rsid w:val="00BE46BD"/>
    <w:rsid w:val="00BE5C38"/>
    <w:rsid w:val="00BF152C"/>
    <w:rsid w:val="00BF3097"/>
    <w:rsid w:val="00BF3B4C"/>
    <w:rsid w:val="00BF53C8"/>
    <w:rsid w:val="00C01399"/>
    <w:rsid w:val="00C01B93"/>
    <w:rsid w:val="00C01BE9"/>
    <w:rsid w:val="00C02A79"/>
    <w:rsid w:val="00C03464"/>
    <w:rsid w:val="00C045AD"/>
    <w:rsid w:val="00C045E6"/>
    <w:rsid w:val="00C048B2"/>
    <w:rsid w:val="00C07BA0"/>
    <w:rsid w:val="00C11568"/>
    <w:rsid w:val="00C11C36"/>
    <w:rsid w:val="00C14E2B"/>
    <w:rsid w:val="00C22DEB"/>
    <w:rsid w:val="00C3303A"/>
    <w:rsid w:val="00C333DF"/>
    <w:rsid w:val="00C3458A"/>
    <w:rsid w:val="00C34A68"/>
    <w:rsid w:val="00C408A0"/>
    <w:rsid w:val="00C41C2F"/>
    <w:rsid w:val="00C43FD0"/>
    <w:rsid w:val="00C453E3"/>
    <w:rsid w:val="00C45C8A"/>
    <w:rsid w:val="00C47029"/>
    <w:rsid w:val="00C47BDE"/>
    <w:rsid w:val="00C50942"/>
    <w:rsid w:val="00C555A7"/>
    <w:rsid w:val="00C67793"/>
    <w:rsid w:val="00C74621"/>
    <w:rsid w:val="00C75071"/>
    <w:rsid w:val="00C76B68"/>
    <w:rsid w:val="00C779E1"/>
    <w:rsid w:val="00C8087A"/>
    <w:rsid w:val="00C811C6"/>
    <w:rsid w:val="00C81F1D"/>
    <w:rsid w:val="00C86D2E"/>
    <w:rsid w:val="00C87FAB"/>
    <w:rsid w:val="00C9130B"/>
    <w:rsid w:val="00C9243C"/>
    <w:rsid w:val="00CA521E"/>
    <w:rsid w:val="00CB26AC"/>
    <w:rsid w:val="00CB2C35"/>
    <w:rsid w:val="00CC06EB"/>
    <w:rsid w:val="00CC09E7"/>
    <w:rsid w:val="00CC21B8"/>
    <w:rsid w:val="00CD06D4"/>
    <w:rsid w:val="00CD1657"/>
    <w:rsid w:val="00CD4119"/>
    <w:rsid w:val="00CD5D25"/>
    <w:rsid w:val="00CD5EC1"/>
    <w:rsid w:val="00CE1989"/>
    <w:rsid w:val="00CE5A99"/>
    <w:rsid w:val="00CE6F58"/>
    <w:rsid w:val="00CF06C4"/>
    <w:rsid w:val="00CF619F"/>
    <w:rsid w:val="00CF7DCD"/>
    <w:rsid w:val="00D01340"/>
    <w:rsid w:val="00D0329C"/>
    <w:rsid w:val="00D03E15"/>
    <w:rsid w:val="00D06DCF"/>
    <w:rsid w:val="00D1513D"/>
    <w:rsid w:val="00D15563"/>
    <w:rsid w:val="00D21BCA"/>
    <w:rsid w:val="00D22C3E"/>
    <w:rsid w:val="00D235EE"/>
    <w:rsid w:val="00D26052"/>
    <w:rsid w:val="00D40DFB"/>
    <w:rsid w:val="00D44CD4"/>
    <w:rsid w:val="00D4747D"/>
    <w:rsid w:val="00D519E5"/>
    <w:rsid w:val="00D605E9"/>
    <w:rsid w:val="00D64F8A"/>
    <w:rsid w:val="00D70287"/>
    <w:rsid w:val="00D74821"/>
    <w:rsid w:val="00D7716E"/>
    <w:rsid w:val="00D77D92"/>
    <w:rsid w:val="00D8063A"/>
    <w:rsid w:val="00D81481"/>
    <w:rsid w:val="00D8182E"/>
    <w:rsid w:val="00D8282E"/>
    <w:rsid w:val="00D83C74"/>
    <w:rsid w:val="00D84660"/>
    <w:rsid w:val="00D84BDC"/>
    <w:rsid w:val="00D860C2"/>
    <w:rsid w:val="00D862D4"/>
    <w:rsid w:val="00D9247A"/>
    <w:rsid w:val="00D92ACB"/>
    <w:rsid w:val="00DA4273"/>
    <w:rsid w:val="00DA7D34"/>
    <w:rsid w:val="00DC25D2"/>
    <w:rsid w:val="00DD110B"/>
    <w:rsid w:val="00DE0BD8"/>
    <w:rsid w:val="00DE57CA"/>
    <w:rsid w:val="00DE6DC0"/>
    <w:rsid w:val="00DF5725"/>
    <w:rsid w:val="00DF5735"/>
    <w:rsid w:val="00E00D6B"/>
    <w:rsid w:val="00E035A7"/>
    <w:rsid w:val="00E04EA9"/>
    <w:rsid w:val="00E05C2B"/>
    <w:rsid w:val="00E06344"/>
    <w:rsid w:val="00E06E51"/>
    <w:rsid w:val="00E10B8D"/>
    <w:rsid w:val="00E17C12"/>
    <w:rsid w:val="00E2073D"/>
    <w:rsid w:val="00E20FE6"/>
    <w:rsid w:val="00E23C65"/>
    <w:rsid w:val="00E24818"/>
    <w:rsid w:val="00E255F8"/>
    <w:rsid w:val="00E2637B"/>
    <w:rsid w:val="00E26F5B"/>
    <w:rsid w:val="00E307FE"/>
    <w:rsid w:val="00E3265D"/>
    <w:rsid w:val="00E33D14"/>
    <w:rsid w:val="00E35233"/>
    <w:rsid w:val="00E36ACE"/>
    <w:rsid w:val="00E36E53"/>
    <w:rsid w:val="00E377EA"/>
    <w:rsid w:val="00E42D70"/>
    <w:rsid w:val="00E474CF"/>
    <w:rsid w:val="00E553E7"/>
    <w:rsid w:val="00E576E4"/>
    <w:rsid w:val="00E617D3"/>
    <w:rsid w:val="00E62278"/>
    <w:rsid w:val="00E63F90"/>
    <w:rsid w:val="00E7146C"/>
    <w:rsid w:val="00E72292"/>
    <w:rsid w:val="00E75D93"/>
    <w:rsid w:val="00E820EC"/>
    <w:rsid w:val="00E919D2"/>
    <w:rsid w:val="00E962A7"/>
    <w:rsid w:val="00EA58C3"/>
    <w:rsid w:val="00EA7367"/>
    <w:rsid w:val="00EB2267"/>
    <w:rsid w:val="00EB59E8"/>
    <w:rsid w:val="00EB7BC5"/>
    <w:rsid w:val="00EC4A7A"/>
    <w:rsid w:val="00ED32E4"/>
    <w:rsid w:val="00EE0FF4"/>
    <w:rsid w:val="00EE311C"/>
    <w:rsid w:val="00EF3B12"/>
    <w:rsid w:val="00EF4B84"/>
    <w:rsid w:val="00EF65FB"/>
    <w:rsid w:val="00F01C26"/>
    <w:rsid w:val="00F03BB8"/>
    <w:rsid w:val="00F10778"/>
    <w:rsid w:val="00F11AEA"/>
    <w:rsid w:val="00F1264A"/>
    <w:rsid w:val="00F143BF"/>
    <w:rsid w:val="00F20050"/>
    <w:rsid w:val="00F203DB"/>
    <w:rsid w:val="00F20E66"/>
    <w:rsid w:val="00F25D88"/>
    <w:rsid w:val="00F25ED2"/>
    <w:rsid w:val="00F3006D"/>
    <w:rsid w:val="00F320FC"/>
    <w:rsid w:val="00F324A9"/>
    <w:rsid w:val="00F41A7A"/>
    <w:rsid w:val="00F438A2"/>
    <w:rsid w:val="00F507F2"/>
    <w:rsid w:val="00F51698"/>
    <w:rsid w:val="00F52404"/>
    <w:rsid w:val="00F55902"/>
    <w:rsid w:val="00F567A5"/>
    <w:rsid w:val="00F604E9"/>
    <w:rsid w:val="00F6204A"/>
    <w:rsid w:val="00F637F1"/>
    <w:rsid w:val="00F741A0"/>
    <w:rsid w:val="00F812D7"/>
    <w:rsid w:val="00F84CBC"/>
    <w:rsid w:val="00F94933"/>
    <w:rsid w:val="00F970A2"/>
    <w:rsid w:val="00FA20DE"/>
    <w:rsid w:val="00FA230E"/>
    <w:rsid w:val="00FA3FCF"/>
    <w:rsid w:val="00FA5CD1"/>
    <w:rsid w:val="00FB699A"/>
    <w:rsid w:val="00FC4274"/>
    <w:rsid w:val="00FC587F"/>
    <w:rsid w:val="00FC6A0D"/>
    <w:rsid w:val="00FD2C28"/>
    <w:rsid w:val="00FE0FDA"/>
    <w:rsid w:val="00FE18CD"/>
    <w:rsid w:val="00FE1B15"/>
    <w:rsid w:val="00FE3946"/>
    <w:rsid w:val="00FE59C4"/>
    <w:rsid w:val="00FF1A3E"/>
    <w:rsid w:val="00FF356D"/>
    <w:rsid w:val="00FF50C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EF94D"/>
  <w15:docId w15:val="{323CAD14-2EC3-4EB7-9898-84FF12F4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C811C6"/>
    <w:pPr>
      <w:spacing w:after="120" w:line="360" w:lineRule="auto"/>
    </w:pPr>
    <w:rPr>
      <w:rFonts w:ascii="Arial" w:eastAsia="Calibri" w:hAnsi="Arial" w:cs="Times New Roman"/>
      <w:sz w:val="24"/>
      <w:lang w:val="de-DE"/>
    </w:rPr>
  </w:style>
  <w:style w:type="paragraph" w:styleId="berschrift1">
    <w:name w:val="heading 1"/>
    <w:basedOn w:val="Standard"/>
    <w:next w:val="Standard"/>
    <w:link w:val="berschrift1Zchn"/>
    <w:uiPriority w:val="9"/>
    <w:qFormat/>
    <w:rsid w:val="00C811C6"/>
    <w:pPr>
      <w:keepNext/>
      <w:keepLines/>
      <w:numPr>
        <w:numId w:val="5"/>
      </w:numPr>
      <w:spacing w:before="240"/>
      <w:ind w:left="431" w:hanging="431"/>
      <w:jc w:val="both"/>
      <w:outlineLvl w:val="0"/>
    </w:pPr>
    <w:rPr>
      <w:rFonts w:eastAsiaTheme="majorEastAsia" w:cstheme="majorBidi"/>
      <w:bCs/>
      <w:sz w:val="32"/>
      <w:szCs w:val="28"/>
      <w:lang w:val="de-AT"/>
    </w:rPr>
  </w:style>
  <w:style w:type="paragraph" w:styleId="berschrift2">
    <w:name w:val="heading 2"/>
    <w:basedOn w:val="Standard"/>
    <w:next w:val="Standard"/>
    <w:link w:val="berschrift2Zchn"/>
    <w:uiPriority w:val="9"/>
    <w:unhideWhenUsed/>
    <w:qFormat/>
    <w:rsid w:val="00C811C6"/>
    <w:pPr>
      <w:keepNext/>
      <w:keepLines/>
      <w:numPr>
        <w:ilvl w:val="1"/>
        <w:numId w:val="5"/>
      </w:numPr>
      <w:spacing w:before="240"/>
      <w:ind w:left="578" w:hanging="578"/>
      <w:outlineLvl w:val="1"/>
    </w:pPr>
    <w:rPr>
      <w:rFonts w:eastAsiaTheme="majorEastAsia" w:cstheme="majorBidi"/>
      <w:bCs/>
      <w:sz w:val="28"/>
      <w:szCs w:val="26"/>
      <w:lang w:val="de-AT"/>
    </w:rPr>
  </w:style>
  <w:style w:type="paragraph" w:styleId="berschrift3">
    <w:name w:val="heading 3"/>
    <w:basedOn w:val="Standard"/>
    <w:next w:val="Standard"/>
    <w:link w:val="berschrift3Zchn"/>
    <w:uiPriority w:val="9"/>
    <w:unhideWhenUsed/>
    <w:qFormat/>
    <w:rsid w:val="00C811C6"/>
    <w:pPr>
      <w:keepNext/>
      <w:keepLines/>
      <w:numPr>
        <w:ilvl w:val="2"/>
        <w:numId w:val="5"/>
      </w:numPr>
      <w:spacing w:before="240"/>
      <w:outlineLvl w:val="2"/>
    </w:pPr>
    <w:rPr>
      <w:rFonts w:eastAsiaTheme="majorEastAsia" w:cstheme="majorBidi"/>
      <w:bCs/>
      <w:lang w:val="de-AT"/>
    </w:rPr>
  </w:style>
  <w:style w:type="paragraph" w:styleId="berschrift4">
    <w:name w:val="heading 4"/>
    <w:basedOn w:val="berschrift3"/>
    <w:next w:val="Standard"/>
    <w:link w:val="berschrift4Zchn"/>
    <w:uiPriority w:val="9"/>
    <w:semiHidden/>
    <w:qFormat/>
    <w:rsid w:val="003B3788"/>
    <w:p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811C6"/>
    <w:rPr>
      <w:rFonts w:ascii="Arial" w:eastAsiaTheme="majorEastAsia" w:hAnsi="Arial" w:cstheme="majorBidi"/>
      <w:bCs/>
      <w:sz w:val="32"/>
      <w:szCs w:val="28"/>
    </w:rPr>
  </w:style>
  <w:style w:type="character" w:customStyle="1" w:styleId="berschrift2Zchn">
    <w:name w:val="Überschrift 2 Zchn"/>
    <w:basedOn w:val="Absatz-Standardschriftart"/>
    <w:link w:val="berschrift2"/>
    <w:uiPriority w:val="9"/>
    <w:rsid w:val="00C811C6"/>
    <w:rPr>
      <w:rFonts w:ascii="Arial" w:eastAsiaTheme="majorEastAsia" w:hAnsi="Arial" w:cstheme="majorBidi"/>
      <w:bCs/>
      <w:sz w:val="28"/>
      <w:szCs w:val="26"/>
    </w:rPr>
  </w:style>
  <w:style w:type="character" w:customStyle="1" w:styleId="berschrift3Zchn">
    <w:name w:val="Überschrift 3 Zchn"/>
    <w:basedOn w:val="Absatz-Standardschriftart"/>
    <w:link w:val="berschrift3"/>
    <w:uiPriority w:val="9"/>
    <w:rsid w:val="00C811C6"/>
    <w:rPr>
      <w:rFonts w:ascii="Arial" w:eastAsiaTheme="majorEastAsia" w:hAnsi="Arial" w:cstheme="majorBidi"/>
      <w:bCs/>
      <w:sz w:val="24"/>
    </w:rPr>
  </w:style>
  <w:style w:type="character" w:customStyle="1" w:styleId="berschrift4Zchn">
    <w:name w:val="Überschrift 4 Zchn"/>
    <w:basedOn w:val="Absatz-Standardschriftart"/>
    <w:link w:val="berschrift4"/>
    <w:uiPriority w:val="9"/>
    <w:semiHidden/>
    <w:rsid w:val="003B3788"/>
    <w:rPr>
      <w:rFonts w:ascii="Arial" w:eastAsiaTheme="majorEastAsia" w:hAnsi="Arial" w:cstheme="majorBidi"/>
      <w:bCs/>
      <w:sz w:val="24"/>
    </w:rPr>
  </w:style>
  <w:style w:type="paragraph" w:styleId="Titel">
    <w:name w:val="Title"/>
    <w:basedOn w:val="Standard"/>
    <w:next w:val="Standard"/>
    <w:link w:val="TitelZchn"/>
    <w:uiPriority w:val="10"/>
    <w:semiHidden/>
    <w:qFormat/>
    <w:rsid w:val="001D00B1"/>
    <w:pPr>
      <w:framePr w:wrap="notBeside" w:vAnchor="text" w:hAnchor="text" w:y="1"/>
      <w:spacing w:before="240" w:line="240" w:lineRule="auto"/>
      <w:contextualSpacing/>
      <w:jc w:val="both"/>
    </w:pPr>
    <w:rPr>
      <w:rFonts w:eastAsiaTheme="majorEastAsia" w:cstheme="majorBidi"/>
      <w:b/>
      <w:spacing w:val="5"/>
      <w:kern w:val="28"/>
      <w:sz w:val="52"/>
      <w:szCs w:val="52"/>
      <w:lang w:val="de-AT"/>
    </w:rPr>
  </w:style>
  <w:style w:type="character" w:customStyle="1" w:styleId="TitelZchn">
    <w:name w:val="Titel Zchn"/>
    <w:basedOn w:val="Absatz-Standardschriftart"/>
    <w:link w:val="Titel"/>
    <w:uiPriority w:val="10"/>
    <w:semiHidden/>
    <w:rsid w:val="003B3788"/>
    <w:rPr>
      <w:rFonts w:ascii="Arial" w:eastAsiaTheme="majorEastAsia" w:hAnsi="Arial" w:cstheme="majorBidi"/>
      <w:b/>
      <w:spacing w:val="5"/>
      <w:kern w:val="28"/>
      <w:sz w:val="52"/>
      <w:szCs w:val="52"/>
    </w:rPr>
  </w:style>
  <w:style w:type="paragraph" w:styleId="Listenabsatz">
    <w:name w:val="List Paragraph"/>
    <w:basedOn w:val="Standard"/>
    <w:uiPriority w:val="34"/>
    <w:unhideWhenUsed/>
    <w:qFormat/>
    <w:rsid w:val="00E26F5B"/>
    <w:pPr>
      <w:numPr>
        <w:numId w:val="6"/>
      </w:numPr>
      <w:contextualSpacing/>
    </w:pPr>
    <w:rPr>
      <w:rFonts w:eastAsiaTheme="minorHAnsi" w:cstheme="minorBidi"/>
      <w:lang w:val="de-AT"/>
    </w:rPr>
  </w:style>
  <w:style w:type="paragraph" w:styleId="Inhaltsverzeichnisberschrift">
    <w:name w:val="TOC Heading"/>
    <w:basedOn w:val="berschrift1"/>
    <w:next w:val="Standard"/>
    <w:uiPriority w:val="39"/>
    <w:unhideWhenUsed/>
    <w:qFormat/>
    <w:rsid w:val="00E474CF"/>
    <w:pPr>
      <w:numPr>
        <w:numId w:val="0"/>
      </w:numPr>
      <w:outlineLvl w:val="9"/>
    </w:pPr>
    <w:rPr>
      <w:lang w:val="de-DE"/>
    </w:rPr>
  </w:style>
  <w:style w:type="paragraph" w:styleId="Beschriftung">
    <w:name w:val="caption"/>
    <w:basedOn w:val="Standard"/>
    <w:next w:val="Standard"/>
    <w:uiPriority w:val="35"/>
    <w:semiHidden/>
    <w:unhideWhenUsed/>
    <w:qFormat/>
    <w:rsid w:val="004E543A"/>
    <w:pPr>
      <w:spacing w:line="240" w:lineRule="auto"/>
    </w:pPr>
    <w:rPr>
      <w:rFonts w:eastAsiaTheme="minorHAnsi" w:cstheme="minorBidi"/>
      <w:bCs/>
      <w:sz w:val="18"/>
      <w:szCs w:val="18"/>
      <w:lang w:val="de-AT"/>
    </w:rPr>
  </w:style>
  <w:style w:type="character" w:styleId="Fett">
    <w:name w:val="Strong"/>
    <w:aliases w:val="Inhaltsverzeichnis"/>
    <w:basedOn w:val="Absatz-Standardschriftart"/>
    <w:uiPriority w:val="22"/>
    <w:semiHidden/>
    <w:unhideWhenUsed/>
    <w:qFormat/>
    <w:rsid w:val="00536672"/>
    <w:rPr>
      <w:rFonts w:ascii="Arial" w:hAnsi="Arial"/>
      <w:b/>
      <w:bCs/>
      <w:color w:val="auto"/>
      <w:sz w:val="28"/>
    </w:rPr>
  </w:style>
  <w:style w:type="paragraph" w:styleId="Kopfzeile">
    <w:name w:val="header"/>
    <w:basedOn w:val="Standard"/>
    <w:link w:val="KopfzeileZchn"/>
    <w:uiPriority w:val="99"/>
    <w:unhideWhenUsed/>
    <w:rsid w:val="00C509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0942"/>
    <w:rPr>
      <w:rFonts w:ascii="Calibri" w:eastAsia="Calibri" w:hAnsi="Calibri" w:cs="Times New Roman"/>
      <w:lang w:val="de-DE"/>
    </w:rPr>
  </w:style>
  <w:style w:type="paragraph" w:styleId="Fuzeile">
    <w:name w:val="footer"/>
    <w:basedOn w:val="Standard"/>
    <w:link w:val="FuzeileZchn"/>
    <w:uiPriority w:val="99"/>
    <w:unhideWhenUsed/>
    <w:rsid w:val="00C509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0942"/>
    <w:rPr>
      <w:rFonts w:ascii="Calibri" w:eastAsia="Calibri" w:hAnsi="Calibri" w:cs="Times New Roman"/>
      <w:lang w:val="de-DE"/>
    </w:rPr>
  </w:style>
  <w:style w:type="paragraph" w:styleId="Sprechblasentext">
    <w:name w:val="Balloon Text"/>
    <w:basedOn w:val="Standard"/>
    <w:link w:val="SprechblasentextZchn"/>
    <w:uiPriority w:val="99"/>
    <w:semiHidden/>
    <w:unhideWhenUsed/>
    <w:rsid w:val="00B11F1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1F1D"/>
    <w:rPr>
      <w:rFonts w:ascii="Tahoma" w:eastAsia="Calibri" w:hAnsi="Tahoma" w:cs="Tahoma"/>
      <w:sz w:val="16"/>
      <w:szCs w:val="16"/>
      <w:lang w:val="de-DE"/>
    </w:rPr>
  </w:style>
  <w:style w:type="paragraph" w:styleId="Verzeichnis1">
    <w:name w:val="toc 1"/>
    <w:basedOn w:val="Standard"/>
    <w:next w:val="Standard"/>
    <w:autoRedefine/>
    <w:uiPriority w:val="39"/>
    <w:unhideWhenUsed/>
    <w:rsid w:val="00C453E3"/>
    <w:pPr>
      <w:tabs>
        <w:tab w:val="left" w:pos="426"/>
        <w:tab w:val="right" w:leader="dot" w:pos="9062"/>
      </w:tabs>
    </w:pPr>
  </w:style>
  <w:style w:type="paragraph" w:styleId="Verzeichnis2">
    <w:name w:val="toc 2"/>
    <w:basedOn w:val="Standard"/>
    <w:next w:val="Standard"/>
    <w:autoRedefine/>
    <w:uiPriority w:val="39"/>
    <w:unhideWhenUsed/>
    <w:rsid w:val="00C453E3"/>
    <w:pPr>
      <w:ind w:left="454"/>
    </w:pPr>
  </w:style>
  <w:style w:type="paragraph" w:styleId="Verzeichnis3">
    <w:name w:val="toc 3"/>
    <w:basedOn w:val="Standard"/>
    <w:next w:val="Standard"/>
    <w:autoRedefine/>
    <w:uiPriority w:val="39"/>
    <w:unhideWhenUsed/>
    <w:rsid w:val="00C453E3"/>
    <w:pPr>
      <w:tabs>
        <w:tab w:val="left" w:pos="2127"/>
        <w:tab w:val="right" w:leader="dot" w:pos="9062"/>
      </w:tabs>
      <w:ind w:left="1134"/>
    </w:pPr>
  </w:style>
  <w:style w:type="character" w:styleId="Hyperlink">
    <w:name w:val="Hyperlink"/>
    <w:basedOn w:val="Absatz-Standardschriftart"/>
    <w:uiPriority w:val="99"/>
    <w:unhideWhenUsed/>
    <w:rsid w:val="0042249C"/>
    <w:rPr>
      <w:color w:val="0000FF" w:themeColor="hyperlink"/>
      <w:u w:val="single"/>
    </w:rPr>
  </w:style>
  <w:style w:type="character" w:styleId="Platzhaltertext">
    <w:name w:val="Placeholder Text"/>
    <w:basedOn w:val="Absatz-Standardschriftart"/>
    <w:uiPriority w:val="99"/>
    <w:semiHidden/>
    <w:rsid w:val="006C2E20"/>
    <w:rPr>
      <w:color w:val="808080"/>
    </w:rPr>
  </w:style>
  <w:style w:type="paragraph" w:styleId="KeinLeerraum">
    <w:name w:val="No Spacing"/>
    <w:uiPriority w:val="1"/>
    <w:qFormat/>
    <w:rsid w:val="003E5827"/>
    <w:pPr>
      <w:spacing w:after="0" w:line="240" w:lineRule="auto"/>
    </w:pPr>
    <w:rPr>
      <w:rFonts w:ascii="Arial" w:eastAsia="Calibri" w:hAnsi="Arial" w:cs="Times New Roman"/>
      <w:sz w:val="24"/>
      <w:lang w:val="de-DE"/>
    </w:rPr>
  </w:style>
  <w:style w:type="table" w:styleId="Tabellenraster">
    <w:name w:val="Table Grid"/>
    <w:basedOn w:val="NormaleTabelle"/>
    <w:uiPriority w:val="59"/>
    <w:rsid w:val="003E5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urverzeichnis">
    <w:name w:val="Bibliography"/>
    <w:basedOn w:val="Standard"/>
    <w:next w:val="Standard"/>
    <w:uiPriority w:val="37"/>
    <w:unhideWhenUsed/>
    <w:rsid w:val="007F6AB4"/>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08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bit.ly/2fY12t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ph-tirol.ac.at/sites/ph-tirol.ac.at/files/logos/PHT_-_RGB.jp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ph-tirol.ac.at/sites/ph-tirol.ac.at/files/logos/PHT_-_RGB.jpg" TargetMode="External"/></Relationships>
</file>

<file path=word/_rels/header5.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ph-tirol.ac.at/sites/ph-tirol.ac.at/files/logos/PHT_-_RGB.jp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00F5260-8928-4DC1-952E-90B65FB87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3476</Words>
  <Characters>21904</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Thema</vt:lpstr>
    </vt:vector>
  </TitlesOfParts>
  <Company>Microsoft</Company>
  <LinksUpToDate>false</LinksUpToDate>
  <CharactersWithSpaces>25330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Thema</dc:title>
  <dc:subject>Modulnummer</dc:subject>
  <dc:creator>Timeline</dc:creator>
  <cp:keywords>Modulbezeichnung</cp:keywords>
  <dc:description>Eingereicht bei</dc:description>
  <cp:lastModifiedBy>Carmen</cp:lastModifiedBy>
  <cp:revision>24</cp:revision>
  <dcterms:created xsi:type="dcterms:W3CDTF">2016-10-18T10:19:00Z</dcterms:created>
  <dcterms:modified xsi:type="dcterms:W3CDTF">2016-11-22T10:56:00Z</dcterms:modified>
  <cp:category>Lehrveranstaltung</cp:category>
</cp:coreProperties>
</file>